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50039480"/>
      <w:bookmarkEnd w:id="0"/>
      <w:bookmarkStart w:id="1" w:name="_Hlt449016246"/>
      <w:bookmarkEnd w:id="1"/>
      <w:bookmarkStart w:id="2" w:name="_Hlt450066087"/>
      <w:bookmarkEnd w:id="2"/>
      <w:bookmarkStart w:id="3" w:name="_Hlt450066085"/>
      <w:bookmarkEnd w:id="3"/>
      <w:bookmarkStart w:id="4" w:name="_Hlt448930105"/>
      <w:bookmarkEnd w:id="4"/>
      <w:bookmarkStart w:id="5" w:name="_Hlt450051172"/>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06255</w:t>
      </w:r>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Tx requirements for IoT-NTN HPUE</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7.10.3.3.1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106</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w:t>
      </w:r>
      <w:r>
        <w:rPr>
          <w:rFonts w:hint="eastAsia"/>
          <w:i w:val="0"/>
          <w:iCs w:val="0"/>
          <w:sz w:val="20"/>
          <w:szCs w:val="20"/>
          <w:lang w:val="en-US" w:eastAsia="zh-CN"/>
        </w:rPr>
        <w:t>, and one of the work area is</w:t>
      </w:r>
      <w:r>
        <w:rPr>
          <w:rFonts w:hint="default"/>
          <w:i w:val="0"/>
          <w:iCs w:val="0"/>
          <w:sz w:val="20"/>
          <w:szCs w:val="20"/>
          <w:lang w:val="en-US" w:eastAsia="zh-CN"/>
        </w:rPr>
        <w:t xml:space="preserve"> </w:t>
      </w:r>
      <w:r>
        <w:rPr>
          <w:rFonts w:hint="eastAsia"/>
          <w:i w:val="0"/>
          <w:iCs w:val="0"/>
          <w:sz w:val="20"/>
          <w:szCs w:val="20"/>
          <w:lang w:val="en-US" w:eastAsia="zh-CN"/>
        </w:rPr>
        <w:t>the</w:t>
      </w:r>
      <w:r>
        <w:rPr>
          <w:rFonts w:hint="default"/>
          <w:i w:val="0"/>
          <w:iCs w:val="0"/>
          <w:sz w:val="20"/>
          <w:szCs w:val="20"/>
          <w:lang w:val="en-US" w:eastAsia="zh-CN"/>
        </w:rPr>
        <w:t xml:space="preserve"> </w:t>
      </w:r>
      <w:r>
        <w:rPr>
          <w:rFonts w:hint="eastAsia"/>
          <w:i w:val="0"/>
          <w:iCs w:val="0"/>
          <w:sz w:val="20"/>
          <w:szCs w:val="20"/>
          <w:lang w:val="en-US" w:eastAsia="zh-CN"/>
        </w:rPr>
        <w:t>introduction of HPUE for NTN with the following RAN4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IoT-NTN HPUE </w:t>
      </w:r>
      <w:r>
        <w:rPr>
          <w:rFonts w:hint="default"/>
          <w:i w:val="0"/>
          <w:iCs w:val="0"/>
          <w:sz w:val="20"/>
          <w:szCs w:val="20"/>
          <w:lang w:val="en-US" w:eastAsia="zh-CN"/>
        </w:rPr>
        <w:t xml:space="preserve">from </w:t>
      </w:r>
      <w:r>
        <w:rPr>
          <w:rFonts w:hint="eastAsia"/>
          <w:i w:val="0"/>
          <w:iCs w:val="0"/>
          <w:sz w:val="20"/>
          <w:szCs w:val="20"/>
          <w:lang w:val="en-US" w:eastAsia="zh-CN"/>
        </w:rPr>
        <w:t>Tx</w:t>
      </w:r>
      <w:r>
        <w:rPr>
          <w:rFonts w:hint="default"/>
          <w:i w:val="0"/>
          <w:iCs w:val="0"/>
          <w:sz w:val="20"/>
          <w:szCs w:val="20"/>
          <w:lang w:val="en-US" w:eastAsia="zh-CN"/>
        </w:rPr>
        <w:t xml:space="preserve"> perspective.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jc w:val="both"/>
              <w:textAlignment w:val="baseline"/>
              <w:rPr>
                <w:lang w:eastAsia="zh-CN"/>
              </w:rPr>
            </w:pPr>
            <w:r>
              <w:rPr>
                <w:b/>
              </w:rPr>
              <w:t>High power UE (HPUE) for NTN</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Conduct the coexistence analysis based on TR 38.863 for the above example bands and corresponding power classes</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Evaluate the impact on the uplink performance of TN (Terrestrial network)</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Example bands include bands n256 and 256, n255 and 255</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PC2, PC1.5 (for NR-NTN only) and PC1 will be evaluated for ACLR and ACS</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For NR-NTN and IoT-NTN: coexistence studies shall be carried out under the same conditions, including geographical separation between NTN UE and Terrestrial Networks (TN), as the co-existence studies in Rel-17 and Rel-18</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Specify high power UE (HPUE) for NR-NTN (Non-Terrestrial Networks) and IoT-NTN (NB-IoT and eMTC based NTN) in FR1-NTN bands and the corresponding LTE NTN bands for the single uplink (UL) carrier scenario</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Support UE with power class 2 (PC2, 26 dBm) that applies to both handheld and non-handheld based on the co-existence study.</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Support other power classes based on the co-existence and feasibility study</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Non-hand held UE is prioritized</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Specify RF requirements for all considered power classes for NR-NTN and IoT-NTN in FR1-NTN bands and the corresponding LTE NTN bands</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Necessary Tx requirements, at least including</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Investigate and if necessary, specify the solution to address potential SAR (Specific Absorption Rate restriction) requirements for handheld 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Specify MPR and A-MPR for the example bands considering the regulation for the corresponding bands, if necessary</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Necessary Rx requirements, at least including</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Specify the RSD requirements on the example bands, if necessary</w:t>
            </w:r>
          </w:p>
          <w:p>
            <w:pPr>
              <w:pStyle w:val="34"/>
              <w:numPr>
                <w:ilvl w:val="0"/>
                <w:numId w:val="8"/>
              </w:numPr>
              <w:overflowPunct w:val="0"/>
              <w:autoSpaceDE w:val="0"/>
              <w:autoSpaceDN w:val="0"/>
              <w:adjustRightInd w:val="0"/>
              <w:spacing w:after="180"/>
              <w:ind w:firstLineChars="0"/>
              <w:textAlignment w:val="baseline"/>
              <w:rPr>
                <w:rFonts w:hint="eastAsia"/>
                <w:i w:val="0"/>
                <w:iCs w:val="0"/>
                <w:sz w:val="20"/>
                <w:szCs w:val="20"/>
                <w:vertAlign w:val="baseline"/>
                <w:lang w:val="en-US" w:eastAsia="zh-CN"/>
              </w:rPr>
            </w:pPr>
            <w:r>
              <w:rPr>
                <w:rFonts w:ascii="Times New Roman" w:hAnsi="Times New Roman"/>
                <w:sz w:val="20"/>
                <w:szCs w:val="20"/>
              </w:rPr>
              <w:t>Specify the 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2.1 For NB-Iot based Iot-NTN, PC1 requirements can be applied to</w:t>
      </w:r>
    </w:p>
    <w:tbl>
      <w:tblPr>
        <w:tblStyle w:val="24"/>
        <w:tblW w:w="1018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1-2</w:t>
            </w:r>
            <w:r>
              <w:rPr>
                <w:rFonts w:hint="eastAsia"/>
                <w:b/>
                <w:sz w:val="20"/>
                <w:szCs w:val="20"/>
                <w:u w:val="single"/>
                <w:lang w:eastAsia="zh-CN"/>
              </w:rPr>
              <w:t>-</w:t>
            </w:r>
            <w:r>
              <w:rPr>
                <w:b/>
                <w:sz w:val="20"/>
                <w:szCs w:val="20"/>
                <w:u w:val="single"/>
                <w:lang w:eastAsia="zh-CN"/>
              </w:rPr>
              <w:t>1</w:t>
            </w:r>
            <w:r>
              <w:rPr>
                <w:b/>
                <w:sz w:val="20"/>
                <w:szCs w:val="20"/>
                <w:u w:val="single"/>
                <w:lang w:eastAsia="ko-KR"/>
              </w:rPr>
              <w:t>: For NB-Iot based Iot-NTN, PC1 requirements can be applied to:</w:t>
            </w:r>
          </w:p>
          <w:p>
            <w:pPr>
              <w:overflowPunct w:val="0"/>
              <w:autoSpaceDE w:val="0"/>
              <w:autoSpaceDN w:val="0"/>
              <w:adjustRightInd w:val="0"/>
              <w:spacing w:after="180"/>
              <w:textAlignment w:val="baseline"/>
              <w:rPr>
                <w:rFonts w:eastAsiaTheme="minorEastAsia"/>
                <w:b/>
                <w:bCs/>
                <w:sz w:val="20"/>
                <w:szCs w:val="20"/>
                <w:lang w:eastAsia="zh-CN"/>
              </w:rPr>
            </w:pPr>
            <w:r>
              <w:rPr>
                <w:rFonts w:hint="eastAsia" w:eastAsiaTheme="minorEastAsia"/>
                <w:b/>
                <w:bCs/>
                <w:sz w:val="20"/>
                <w:szCs w:val="20"/>
                <w:lang w:eastAsia="zh-CN"/>
              </w:rPr>
              <w:t>A</w:t>
            </w:r>
            <w:r>
              <w:rPr>
                <w:rFonts w:eastAsiaTheme="minorEastAsia"/>
                <w:b/>
                <w:bCs/>
                <w:sz w:val="20"/>
                <w:szCs w:val="20"/>
                <w:lang w:eastAsia="zh-CN"/>
              </w:rPr>
              <w:t>greement:</w:t>
            </w:r>
          </w:p>
          <w:p>
            <w:pPr>
              <w:pStyle w:val="34"/>
              <w:numPr>
                <w:ilvl w:val="0"/>
                <w:numId w:val="9"/>
              </w:numPr>
              <w:overflowPunct w:val="0"/>
              <w:autoSpaceDE w:val="0"/>
              <w:autoSpaceDN w:val="0"/>
              <w:adjustRightInd w:val="0"/>
              <w:spacing w:after="180"/>
              <w:ind w:firstLineChars="0"/>
              <w:textAlignment w:val="baseline"/>
              <w:rPr>
                <w:rFonts w:eastAsiaTheme="minorEastAsia"/>
                <w:bCs/>
                <w:sz w:val="20"/>
                <w:szCs w:val="20"/>
                <w:lang w:eastAsia="zh-CN"/>
              </w:rPr>
            </w:pPr>
            <w:r>
              <w:rPr>
                <w:bCs/>
                <w:sz w:val="20"/>
                <w:szCs w:val="20"/>
                <w:lang w:eastAsia="ko-KR"/>
              </w:rPr>
              <w:t>For NB-Iot based Iot-NTN, PC1 requirements can be applied to both handheld and non-handheld.</w:t>
            </w:r>
          </w:p>
          <w:p>
            <w:pPr>
              <w:pStyle w:val="34"/>
              <w:numPr>
                <w:ilvl w:val="1"/>
                <w:numId w:val="9"/>
              </w:numPr>
              <w:overflowPunct w:val="0"/>
              <w:autoSpaceDE w:val="0"/>
              <w:autoSpaceDN w:val="0"/>
              <w:adjustRightInd w:val="0"/>
              <w:spacing w:after="180"/>
              <w:ind w:firstLineChars="0"/>
              <w:textAlignment w:val="baseline"/>
              <w:rPr>
                <w:rFonts w:eastAsiaTheme="minorEastAsia"/>
                <w:bCs/>
                <w:sz w:val="20"/>
                <w:szCs w:val="20"/>
                <w:lang w:eastAsia="zh-CN"/>
              </w:rPr>
            </w:pPr>
            <w:r>
              <w:rPr>
                <w:rFonts w:eastAsia="Malgun Gothic"/>
                <w:bCs/>
                <w:sz w:val="20"/>
                <w:szCs w:val="20"/>
                <w:lang w:eastAsia="ko-KR"/>
              </w:rPr>
              <w:t>FFS whether to limit to the use case with single tone and a limited number of tones</w:t>
            </w:r>
          </w:p>
          <w:p>
            <w:pPr>
              <w:overflowPunct w:val="0"/>
              <w:autoSpaceDE w:val="0"/>
              <w:autoSpaceDN w:val="0"/>
              <w:adjustRightInd w:val="0"/>
              <w:spacing w:after="180"/>
              <w:textAlignment w:val="baseline"/>
              <w:rPr>
                <w:sz w:val="20"/>
                <w:szCs w:val="20"/>
                <w:lang w:eastAsia="zh-CN"/>
              </w:rPr>
            </w:pPr>
          </w:p>
          <w:p>
            <w:pPr>
              <w:overflowPunct w:val="0"/>
              <w:autoSpaceDE w:val="0"/>
              <w:autoSpaceDN w:val="0"/>
              <w:adjustRightInd w:val="0"/>
              <w:spacing w:after="180"/>
              <w:textAlignment w:val="baseline"/>
              <w:rPr>
                <w:sz w:val="20"/>
                <w:szCs w:val="20"/>
                <w:u w:val="single"/>
                <w:lang w:eastAsia="zh-CN"/>
              </w:rPr>
            </w:pPr>
            <w:r>
              <w:rPr>
                <w:sz w:val="20"/>
                <w:szCs w:val="20"/>
                <w:u w:val="single"/>
                <w:lang w:eastAsia="zh-CN"/>
              </w:rPr>
              <w:t>Current Status: (For Information)</w:t>
            </w:r>
          </w:p>
          <w:p>
            <w:pPr>
              <w:overflowPunct w:val="0"/>
              <w:autoSpaceDE w:val="0"/>
              <w:autoSpaceDN w:val="0"/>
              <w:adjustRightInd w:val="0"/>
              <w:spacing w:after="180"/>
              <w:jc w:val="center"/>
              <w:textAlignment w:val="baseline"/>
              <w:rPr>
                <w:b/>
                <w:sz w:val="20"/>
                <w:szCs w:val="20"/>
                <w:u w:val="single"/>
                <w:lang w:eastAsia="ko-KR"/>
              </w:rPr>
            </w:pPr>
            <w:r>
              <w:rPr>
                <w:rFonts w:hint="eastAsia"/>
                <w:b/>
                <w:bCs/>
                <w:sz w:val="20"/>
                <w:szCs w:val="20"/>
                <w:lang w:eastAsia="zh-CN"/>
              </w:rPr>
              <w:t xml:space="preserve">Table: </w:t>
            </w:r>
            <w:r>
              <w:rPr>
                <w:rFonts w:hint="eastAsia"/>
                <w:sz w:val="20"/>
                <w:szCs w:val="20"/>
                <w:lang w:eastAsia="zh-CN"/>
              </w:rPr>
              <w:t xml:space="preserve">Current status for requirements consideration and </w:t>
            </w:r>
            <w:r>
              <w:rPr>
                <w:sz w:val="20"/>
                <w:szCs w:val="20"/>
                <w:lang w:eastAsia="zh-CN"/>
              </w:rPr>
              <w:t>feasibility</w:t>
            </w:r>
            <w:r>
              <w:rPr>
                <w:rFonts w:hint="eastAsia"/>
                <w:sz w:val="20"/>
                <w:szCs w:val="20"/>
                <w:lang w:eastAsia="zh-CN"/>
              </w:rPr>
              <w:t xml:space="preserve"> for Iot</w:t>
            </w:r>
            <w:r>
              <w:rPr>
                <w:sz w:val="20"/>
                <w:szCs w:val="20"/>
                <w:lang w:eastAsia="zh-CN"/>
              </w:rPr>
              <w:t>-</w:t>
            </w:r>
            <w:r>
              <w:rPr>
                <w:rFonts w:hint="eastAsia"/>
                <w:sz w:val="20"/>
                <w:szCs w:val="20"/>
                <w:lang w:eastAsia="zh-CN"/>
              </w:rPr>
              <w:t>NTN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1559"/>
              <w:gridCol w:w="1802"/>
              <w:gridCol w:w="1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Pr>
                <w:p>
                  <w:pPr>
                    <w:overflowPunct w:val="0"/>
                    <w:autoSpaceDE w:val="0"/>
                    <w:autoSpaceDN w:val="0"/>
                    <w:adjustRightInd w:val="0"/>
                    <w:spacing w:after="180"/>
                    <w:textAlignment w:val="baseline"/>
                    <w:rPr>
                      <w:rFonts w:eastAsia="宋体"/>
                      <w:sz w:val="20"/>
                      <w:szCs w:val="20"/>
                      <w:lang w:eastAsia="zh-CN"/>
                    </w:rPr>
                  </w:pP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Power Class</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Antenna Numbers</w:t>
                  </w:r>
                </w:p>
              </w:tc>
              <w:tc>
                <w:tcPr>
                  <w:tcW w:w="1838" w:type="dxa"/>
                </w:tcPr>
                <w:p>
                  <w:p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H</w:t>
                  </w:r>
                  <w:r>
                    <w:rPr>
                      <w:rFonts w:hint="eastAsia" w:eastAsia="宋体"/>
                      <w:sz w:val="20"/>
                      <w:szCs w:val="20"/>
                      <w:lang w:eastAsia="zh-CN"/>
                    </w:rPr>
                    <w:t>andheld and/or non-handheld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843" w:type="dxa"/>
                  <w:vMerge w:val="restart"/>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NB-Iot based</w:t>
                  </w: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PC1</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Yu Mincho"/>
                      <w:sz w:val="20"/>
                      <w:szCs w:val="20"/>
                      <w:lang w:eastAsia="zh-CN"/>
                    </w:rPr>
                  </w:pPr>
                  <w:r>
                    <w:rPr>
                      <w:rFonts w:eastAsia="Yu Mincho"/>
                      <w:sz w:val="20"/>
                      <w:szCs w:val="20"/>
                      <w:lang w:eastAsia="zh-CN"/>
                    </w:rPr>
                    <w:t>Both*</w:t>
                  </w:r>
                </w:p>
                <w:p>
                  <w:pPr>
                    <w:overflowPunct w:val="0"/>
                    <w:autoSpaceDE w:val="0"/>
                    <w:autoSpaceDN w:val="0"/>
                    <w:adjustRightInd w:val="0"/>
                    <w:spacing w:after="180"/>
                    <w:textAlignment w:val="baseline"/>
                    <w:rPr>
                      <w:rFonts w:eastAsiaTheme="minorEastAsia"/>
                      <w:sz w:val="20"/>
                      <w:szCs w:val="20"/>
                      <w:lang w:eastAsia="zh-CN"/>
                    </w:rPr>
                  </w:pPr>
                  <w:r>
                    <w:rPr>
                      <w:rFonts w:eastAsiaTheme="minorEastAsia"/>
                      <w:sz w:val="20"/>
                      <w:szCs w:val="20"/>
                      <w:lang w:eastAsia="zh-CN"/>
                    </w:rPr>
                    <w:t>*</w:t>
                  </w:r>
                  <w:r>
                    <w:rPr>
                      <w:rFonts w:hint="eastAsia" w:eastAsiaTheme="minorEastAsia"/>
                      <w:sz w:val="20"/>
                      <w:szCs w:val="20"/>
                      <w:lang w:eastAsia="zh-CN"/>
                    </w:rPr>
                    <w:t>N</w:t>
                  </w:r>
                  <w:r>
                    <w:rPr>
                      <w:rFonts w:eastAsiaTheme="minorEastAsia"/>
                      <w:sz w:val="20"/>
                      <w:szCs w:val="20"/>
                      <w:lang w:eastAsia="zh-CN"/>
                    </w:rPr>
                    <w:t>ote: Tones limitation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Merge w:val="continue"/>
                </w:tcPr>
                <w:p>
                  <w:pPr>
                    <w:overflowPunct w:val="0"/>
                    <w:autoSpaceDE w:val="0"/>
                    <w:autoSpaceDN w:val="0"/>
                    <w:adjustRightInd w:val="0"/>
                    <w:spacing w:after="180"/>
                    <w:textAlignment w:val="baseline"/>
                    <w:rPr>
                      <w:rFonts w:eastAsia="宋体"/>
                      <w:sz w:val="20"/>
                      <w:szCs w:val="20"/>
                      <w:lang w:eastAsia="zh-CN"/>
                    </w:rPr>
                  </w:pP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PC2</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6" w:hRule="atLeast"/>
                <w:jc w:val="center"/>
              </w:trPr>
              <w:tc>
                <w:tcPr>
                  <w:tcW w:w="1843" w:type="dxa"/>
                  <w:vMerge w:val="restart"/>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eMTC based with half duplex</w:t>
                  </w: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PC1</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Theme="minorEastAsia"/>
                      <w:sz w:val="20"/>
                      <w:szCs w:val="20"/>
                      <w:lang w:eastAsia="zh-CN"/>
                    </w:rPr>
                  </w:pPr>
                  <w:r>
                    <w:rPr>
                      <w:rFonts w:eastAsia="Yu Mincho"/>
                      <w:sz w:val="20"/>
                      <w:szCs w:val="20"/>
                      <w:lang w:eastAsia="zh-CN"/>
                    </w:rPr>
                    <w:t>Non-handheld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Merge w:val="continue"/>
                </w:tcPr>
                <w:p>
                  <w:pPr>
                    <w:overflowPunct w:val="0"/>
                    <w:autoSpaceDE w:val="0"/>
                    <w:autoSpaceDN w:val="0"/>
                    <w:adjustRightInd w:val="0"/>
                    <w:spacing w:after="180"/>
                    <w:textAlignment w:val="baseline"/>
                    <w:rPr>
                      <w:rFonts w:eastAsia="宋体"/>
                      <w:sz w:val="20"/>
                      <w:szCs w:val="20"/>
                      <w:lang w:eastAsia="zh-CN"/>
                    </w:rPr>
                  </w:pP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PC2</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843" w:type="dxa"/>
                  <w:vMerge w:val="restart"/>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eMTC based with full duplex</w:t>
                  </w: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PC1</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宋体"/>
                      <w:sz w:val="20"/>
                      <w:szCs w:val="20"/>
                      <w:lang w:eastAsia="zh-CN"/>
                    </w:rPr>
                  </w:pPr>
                  <w:r>
                    <w:rPr>
                      <w:rFonts w:eastAsia="Yu Mincho"/>
                      <w:sz w:val="20"/>
                      <w:szCs w:val="20"/>
                      <w:lang w:eastAsia="zh-CN"/>
                    </w:rPr>
                    <w:t>Non-handheld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Merge w:val="continue"/>
                </w:tcPr>
                <w:p>
                  <w:pPr>
                    <w:overflowPunct w:val="0"/>
                    <w:autoSpaceDE w:val="0"/>
                    <w:autoSpaceDN w:val="0"/>
                    <w:adjustRightInd w:val="0"/>
                    <w:spacing w:after="180"/>
                    <w:textAlignment w:val="baseline"/>
                    <w:rPr>
                      <w:rFonts w:eastAsia="宋体"/>
                      <w:sz w:val="20"/>
                      <w:szCs w:val="20"/>
                      <w:lang w:eastAsia="zh-CN"/>
                    </w:rPr>
                  </w:pP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PC2</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Both</w:t>
                  </w:r>
                </w:p>
              </w:tc>
            </w:tr>
          </w:tbl>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highlight w:val="none"/>
                <w:vertAlign w:val="baseline"/>
                <w:lang w:val="en-US" w:eastAsia="zh-CN"/>
              </w:rPr>
            </w:pPr>
          </w:p>
        </w:tc>
      </w:tr>
    </w:tbl>
    <w:p>
      <w:pPr>
        <w:rPr>
          <w:rFonts w:hint="default"/>
          <w:sz w:val="20"/>
          <w:szCs w:val="20"/>
          <w:lang w:val="en-US" w:eastAsia="zh-CN"/>
        </w:rPr>
      </w:pPr>
      <w:r>
        <w:rPr>
          <w:rFonts w:hint="eastAsia"/>
          <w:sz w:val="20"/>
          <w:szCs w:val="20"/>
          <w:lang w:val="en-US" w:eastAsia="zh-CN"/>
        </w:rPr>
        <w:t>In last meeting, we agreed that for NB-Iot based Iot-NTN, PC1 requirements can be applied to both handheld and non-handheld, but need further discuss whether to limit to the use case with single tone and a limited number of tones. The main concern is SEM is the limiting factor for PA to reach power class 1, where SEM is agreed to reuse PC3 SEM. From evaluation results in [2], it can be observed that edge single tone fails most of cases for Pout=33dBm. However, the evaluation procedure didn</w:t>
      </w:r>
      <w:r>
        <w:rPr>
          <w:rFonts w:hint="default"/>
          <w:sz w:val="20"/>
          <w:szCs w:val="20"/>
          <w:lang w:val="en-US" w:eastAsia="zh-CN"/>
        </w:rPr>
        <w:t>’</w:t>
      </w:r>
      <w:r>
        <w:rPr>
          <w:rFonts w:hint="eastAsia"/>
          <w:sz w:val="20"/>
          <w:szCs w:val="20"/>
          <w:lang w:val="en-US" w:eastAsia="zh-CN"/>
        </w:rPr>
        <w:t>t take MPR into consideration. To meet SEM requirement, we can define an appropriate MPR value for the faulty RB allocation. From the network perspective, network scheduling for the UE should not be restricted, and unnecessary scheduling constraints may lead to inefficient spectrum utilization. Hence, we propose not to limit to the use case with single tone and a limited number of tones.</w:t>
      </w:r>
    </w:p>
    <w:p>
      <w:pPr>
        <w:rPr>
          <w:rFonts w:hint="eastAsia"/>
          <w:b/>
          <w:bCs/>
          <w:sz w:val="20"/>
          <w:szCs w:val="20"/>
          <w:lang w:val="en-US" w:eastAsia="zh-CN"/>
        </w:rPr>
      </w:pPr>
      <w:r>
        <w:rPr>
          <w:rFonts w:hint="eastAsia"/>
          <w:b/>
          <w:bCs/>
          <w:sz w:val="20"/>
          <w:szCs w:val="20"/>
          <w:lang w:val="en-US" w:eastAsia="zh-CN"/>
        </w:rPr>
        <w:t>Proposal 1: Not to limit to the use case with single tone and a limited number of tones.</w:t>
      </w:r>
    </w:p>
    <w:p>
      <w:pPr>
        <w:pStyle w:val="3"/>
        <w:keepNext w:val="0"/>
        <w:keepLines w:val="0"/>
        <w:pageBreakBefore w:val="0"/>
        <w:widowControl w:val="0"/>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b/>
          <w:bCs/>
          <w:sz w:val="20"/>
          <w:szCs w:val="20"/>
          <w:lang w:val="en-US" w:eastAsia="zh-CN"/>
        </w:rPr>
      </w:pPr>
      <w:r>
        <w:rPr>
          <w:rFonts w:hint="eastAsia"/>
          <w:lang w:val="en-US" w:eastAsia="zh-CN"/>
        </w:rPr>
        <w:t>2.2 SAR</w:t>
      </w:r>
    </w:p>
    <w:tbl>
      <w:tblPr>
        <w:tblStyle w:val="24"/>
        <w:tblW w:w="1018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 xml:space="preserve">Issue </w:t>
            </w:r>
            <w:r>
              <w:rPr>
                <w:rFonts w:hint="eastAsia"/>
                <w:b/>
                <w:sz w:val="20"/>
                <w:szCs w:val="20"/>
                <w:u w:val="single"/>
                <w:lang w:eastAsia="zh-CN"/>
              </w:rPr>
              <w:t>2</w:t>
            </w:r>
            <w:r>
              <w:rPr>
                <w:b/>
                <w:sz w:val="20"/>
                <w:szCs w:val="20"/>
                <w:u w:val="single"/>
                <w:lang w:eastAsia="ko-KR"/>
              </w:rPr>
              <w:t>-1</w:t>
            </w:r>
            <w:r>
              <w:rPr>
                <w:rFonts w:hint="eastAsia"/>
                <w:b/>
                <w:sz w:val="20"/>
                <w:szCs w:val="20"/>
                <w:u w:val="single"/>
                <w:lang w:eastAsia="zh-CN"/>
              </w:rPr>
              <w:t>-</w:t>
            </w:r>
            <w:r>
              <w:rPr>
                <w:b/>
                <w:sz w:val="20"/>
                <w:szCs w:val="20"/>
                <w:u w:val="single"/>
                <w:lang w:eastAsia="zh-CN"/>
              </w:rPr>
              <w:t>2</w:t>
            </w:r>
            <w:r>
              <w:rPr>
                <w:b/>
                <w:sz w:val="20"/>
                <w:szCs w:val="20"/>
                <w:u w:val="single"/>
                <w:lang w:eastAsia="ko-KR"/>
              </w:rPr>
              <w:t>:</w:t>
            </w:r>
            <w:r>
              <w:rPr>
                <w:rFonts w:hint="eastAsia"/>
                <w:b/>
                <w:sz w:val="20"/>
                <w:szCs w:val="20"/>
                <w:u w:val="single"/>
                <w:lang w:eastAsia="zh-CN"/>
              </w:rPr>
              <w:t xml:space="preserve"> </w:t>
            </w:r>
            <w:r>
              <w:rPr>
                <w:b/>
                <w:sz w:val="20"/>
                <w:szCs w:val="20"/>
                <w:u w:val="single"/>
                <w:lang w:eastAsia="zh-CN"/>
              </w:rPr>
              <w:t>Whether and how to introduce duty cycle related method.</w:t>
            </w:r>
          </w:p>
          <w:p>
            <w:pPr>
              <w:pStyle w:val="34"/>
              <w:numPr>
                <w:ilvl w:val="0"/>
                <w:numId w:val="10"/>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Proposals (Not necessarily mutually exclusive):</w:t>
            </w:r>
          </w:p>
          <w:p>
            <w:pPr>
              <w:pStyle w:val="34"/>
              <w:numPr>
                <w:ilvl w:val="1"/>
                <w:numId w:val="10"/>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Scheme 1: (vivo)</w:t>
            </w:r>
          </w:p>
          <w:p>
            <w:pPr>
              <w:pStyle w:val="34"/>
              <w:overflowPunct/>
              <w:autoSpaceDE/>
              <w:autoSpaceDN/>
              <w:adjustRightInd/>
              <w:spacing w:after="120"/>
              <w:ind w:left="1722" w:leftChars="820" w:firstLine="0" w:firstLineChars="0"/>
              <w:textAlignment w:val="auto"/>
              <w:rPr>
                <w:rFonts w:eastAsia="宋体"/>
                <w:sz w:val="20"/>
                <w:szCs w:val="20"/>
                <w:lang w:eastAsia="zh-CN"/>
              </w:rPr>
            </w:pPr>
            <w:r>
              <w:rPr>
                <w:rFonts w:eastAsia="宋体"/>
                <w:sz w:val="20"/>
                <w:szCs w:val="20"/>
                <w:lang w:eastAsia="zh-CN"/>
              </w:rPr>
              <w:t>Consider to introduce a scheme that UE voluntarily dropping uplink transmissions by self-assessment to control the SAR. This may be simple enough, can be controlled by network and still useful.</w:t>
            </w:r>
          </w:p>
          <w:p>
            <w:pPr>
              <w:pStyle w:val="34"/>
              <w:numPr>
                <w:ilvl w:val="1"/>
                <w:numId w:val="10"/>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Scheme 2: (oppo)</w:t>
            </w:r>
          </w:p>
          <w:p>
            <w:pPr>
              <w:pStyle w:val="34"/>
              <w:overflowPunct/>
              <w:autoSpaceDE/>
              <w:autoSpaceDN/>
              <w:adjustRightInd/>
              <w:spacing w:after="120"/>
              <w:ind w:left="1722" w:leftChars="820" w:firstLine="0" w:firstLineChars="0"/>
              <w:textAlignment w:val="auto"/>
              <w:rPr>
                <w:rFonts w:eastAsiaTheme="minorEastAsia"/>
                <w:bCs/>
                <w:sz w:val="20"/>
                <w:szCs w:val="20"/>
                <w:lang w:eastAsia="zh-CN"/>
              </w:rPr>
            </w:pPr>
            <w:r>
              <w:rPr>
                <w:rFonts w:eastAsia="等线"/>
                <w:bCs/>
                <w:sz w:val="20"/>
                <w:szCs w:val="20"/>
                <w:lang w:val="en-US" w:eastAsia="zh-CN"/>
              </w:rPr>
              <w:t xml:space="preserve">UE indicate whether the following Tx time duration should be counted into the UL duty cycle statistics in addition to current </w:t>
            </w:r>
            <w:r>
              <w:rPr>
                <w:rFonts w:eastAsiaTheme="minorEastAsia"/>
                <w:bCs/>
                <w:i/>
                <w:sz w:val="20"/>
                <w:szCs w:val="20"/>
                <w:lang w:eastAsia="zh-CN"/>
              </w:rPr>
              <w:t>maxUplinkdutycycle</w:t>
            </w:r>
            <w:r>
              <w:rPr>
                <w:rFonts w:eastAsiaTheme="minorEastAsia"/>
                <w:bCs/>
                <w:sz w:val="20"/>
                <w:szCs w:val="20"/>
                <w:lang w:eastAsia="zh-CN"/>
              </w:rPr>
              <w:t xml:space="preserve"> capability. How the information is reported is up to RAN2.</w:t>
            </w:r>
          </w:p>
          <w:p>
            <w:pPr>
              <w:pStyle w:val="34"/>
              <w:numPr>
                <w:ilvl w:val="1"/>
                <w:numId w:val="10"/>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Scheme 3: (Samsung)</w:t>
            </w:r>
          </w:p>
          <w:p>
            <w:pPr>
              <w:pStyle w:val="34"/>
              <w:overflowPunct/>
              <w:autoSpaceDE/>
              <w:autoSpaceDN/>
              <w:adjustRightInd/>
              <w:spacing w:after="120"/>
              <w:ind w:left="1722" w:leftChars="820" w:firstLine="0" w:firstLineChars="0"/>
              <w:textAlignment w:val="auto"/>
              <w:rPr>
                <w:sz w:val="20"/>
                <w:szCs w:val="20"/>
                <w:lang w:val="sv-SE" w:eastAsia="zh-CN"/>
              </w:rPr>
            </w:pPr>
            <w:r>
              <w:rPr>
                <w:sz w:val="20"/>
                <w:szCs w:val="20"/>
                <w:lang w:val="sv-SE" w:eastAsia="zh-CN"/>
              </w:rPr>
              <w:t xml:space="preserve">Observation 3-1: Legacy dutycycle method does not fit the purpose of keeping as much power as possible for NTN scenario, as legacy solution requires UE to fall back 3/6 dBs, which is the power of entire power class. </w:t>
            </w:r>
          </w:p>
          <w:p>
            <w:pPr>
              <w:pStyle w:val="34"/>
              <w:overflowPunct/>
              <w:autoSpaceDE/>
              <w:autoSpaceDN/>
              <w:adjustRightInd/>
              <w:spacing w:after="120"/>
              <w:ind w:left="1722" w:leftChars="820" w:firstLine="0" w:firstLineChars="0"/>
              <w:textAlignment w:val="auto"/>
              <w:rPr>
                <w:sz w:val="20"/>
                <w:szCs w:val="20"/>
                <w:lang w:val="sv-SE" w:eastAsia="zh-CN"/>
              </w:rPr>
            </w:pPr>
            <w:r>
              <w:rPr>
                <w:sz w:val="20"/>
                <w:szCs w:val="20"/>
                <w:lang w:val="sv-SE" w:eastAsia="zh-CN"/>
              </w:rPr>
              <w:t>Observation 3-2: In Rel-19, NTN would not introduce any beam service ratio in time domain in NTN phase3 WI in parallel.</w:t>
            </w:r>
          </w:p>
          <w:p>
            <w:pPr>
              <w:pStyle w:val="34"/>
              <w:overflowPunct/>
              <w:autoSpaceDE/>
              <w:autoSpaceDN/>
              <w:adjustRightInd/>
              <w:spacing w:after="120"/>
              <w:ind w:left="1722" w:leftChars="820" w:firstLine="0" w:firstLineChars="0"/>
              <w:textAlignment w:val="auto"/>
              <w:rPr>
                <w:sz w:val="20"/>
                <w:szCs w:val="20"/>
                <w:lang w:val="sv-SE" w:eastAsia="zh-CN"/>
              </w:rPr>
            </w:pPr>
            <w:r>
              <w:rPr>
                <w:sz w:val="20"/>
                <w:szCs w:val="20"/>
                <w:lang w:val="sv-SE" w:eastAsia="zh-CN"/>
              </w:rPr>
              <w:t>Observation 4-1: To let UE drop certain ratio of uplink opportunities will face the same challenge as other duty cycle method, because there is no NW uplink ratio in time domain in a FDD NTN band. It means if we follow this way, there is no way we could specify or to guide UE behaviors, like how much ratio of uplink should UE drop, and for how long.</w:t>
            </w:r>
          </w:p>
          <w:p>
            <w:pPr>
              <w:pStyle w:val="34"/>
              <w:overflowPunct/>
              <w:autoSpaceDE/>
              <w:autoSpaceDN/>
              <w:adjustRightInd/>
              <w:spacing w:after="120"/>
              <w:ind w:left="1722" w:leftChars="820" w:firstLine="0" w:firstLineChars="0"/>
              <w:textAlignment w:val="auto"/>
              <w:rPr>
                <w:sz w:val="20"/>
                <w:szCs w:val="20"/>
                <w:lang w:val="sv-SE" w:eastAsia="zh-CN"/>
              </w:rPr>
            </w:pPr>
            <w:r>
              <w:rPr>
                <w:sz w:val="20"/>
                <w:szCs w:val="20"/>
                <w:lang w:val="sv-SE" w:eastAsia="zh-CN"/>
              </w:rPr>
              <w:t>Observation 4-2: To let UE go into a Tx UL Gap also faces same challenges as above.</w:t>
            </w:r>
          </w:p>
          <w:p>
            <w:pPr>
              <w:pStyle w:val="34"/>
              <w:overflowPunct/>
              <w:autoSpaceDE/>
              <w:autoSpaceDN/>
              <w:adjustRightInd/>
              <w:spacing w:after="120"/>
              <w:ind w:left="1722" w:leftChars="820" w:firstLine="0" w:firstLineChars="0"/>
              <w:textAlignment w:val="auto"/>
              <w:rPr>
                <w:sz w:val="20"/>
                <w:szCs w:val="20"/>
                <w:lang w:val="sv-SE" w:eastAsia="zh-CN"/>
              </w:rPr>
            </w:pPr>
            <w:r>
              <w:rPr>
                <w:sz w:val="20"/>
                <w:szCs w:val="20"/>
                <w:lang w:val="sv-SE" w:eastAsia="zh-CN"/>
              </w:rPr>
              <w:t>Proposal 4: To not define any duty cycle based SAR solution, and to use the baseline P-MPR method, considering following:</w:t>
            </w:r>
            <w:r>
              <w:rPr>
                <w:rFonts w:hint="eastAsia"/>
                <w:sz w:val="20"/>
                <w:szCs w:val="20"/>
                <w:lang w:val="sv-SE" w:eastAsia="zh-CN"/>
              </w:rPr>
              <w:t xml:space="preserve"> </w:t>
            </w:r>
          </w:p>
          <w:p>
            <w:pPr>
              <w:pStyle w:val="34"/>
              <w:overflowPunct/>
              <w:autoSpaceDE/>
              <w:autoSpaceDN/>
              <w:adjustRightInd/>
              <w:spacing w:after="120"/>
              <w:ind w:left="1932" w:leftChars="920" w:firstLine="0" w:firstLineChars="0"/>
              <w:textAlignment w:val="auto"/>
              <w:rPr>
                <w:sz w:val="20"/>
                <w:szCs w:val="20"/>
                <w:lang w:val="sv-SE" w:eastAsia="zh-CN"/>
              </w:rPr>
            </w:pPr>
            <w:r>
              <w:rPr>
                <w:sz w:val="20"/>
                <w:szCs w:val="20"/>
                <w:lang w:val="sv-SE" w:eastAsia="zh-CN"/>
              </w:rPr>
              <w:t xml:space="preserve">1) P-MPR had been working well and leave space for implementation; </w:t>
            </w:r>
          </w:p>
          <w:p>
            <w:pPr>
              <w:pStyle w:val="34"/>
              <w:overflowPunct/>
              <w:autoSpaceDE/>
              <w:autoSpaceDN/>
              <w:adjustRightInd/>
              <w:spacing w:after="120"/>
              <w:ind w:left="1932" w:leftChars="920" w:firstLine="0" w:firstLineChars="0"/>
              <w:textAlignment w:val="auto"/>
              <w:rPr>
                <w:sz w:val="20"/>
                <w:szCs w:val="20"/>
                <w:lang w:val="sv-SE" w:eastAsia="zh-CN"/>
              </w:rPr>
            </w:pPr>
            <w:r>
              <w:rPr>
                <w:sz w:val="20"/>
                <w:szCs w:val="20"/>
                <w:lang w:val="sv-SE" w:eastAsia="zh-CN"/>
              </w:rPr>
              <w:t xml:space="preserve">2) without uplink duty ratio from NW side, current solutions on the table (including legacy tdd duty cycle solution) cannot be optimized and clear enough for UE implementation; </w:t>
            </w:r>
          </w:p>
          <w:p>
            <w:pPr>
              <w:pStyle w:val="34"/>
              <w:overflowPunct/>
              <w:autoSpaceDE/>
              <w:autoSpaceDN/>
              <w:adjustRightInd/>
              <w:spacing w:after="120"/>
              <w:ind w:left="1932" w:leftChars="920" w:firstLine="0" w:firstLineChars="0"/>
              <w:textAlignment w:val="auto"/>
              <w:rPr>
                <w:sz w:val="20"/>
                <w:szCs w:val="20"/>
                <w:lang w:val="sv-SE" w:eastAsia="zh-CN"/>
              </w:rPr>
            </w:pPr>
            <w:r>
              <w:rPr>
                <w:sz w:val="20"/>
                <w:szCs w:val="20"/>
                <w:lang w:val="sv-SE" w:eastAsia="zh-CN"/>
              </w:rPr>
              <w:t>3) There are many non-3GPP technologies already implemented in actual SAR compliance, and it helped to maintain power level well enough.</w:t>
            </w:r>
          </w:p>
          <w:p>
            <w:pPr>
              <w:pStyle w:val="34"/>
              <w:numPr>
                <w:ilvl w:val="1"/>
                <w:numId w:val="10"/>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Scheme 4: (Qualcomm)</w:t>
            </w:r>
          </w:p>
          <w:p>
            <w:pPr>
              <w:pStyle w:val="34"/>
              <w:numPr>
                <w:ilvl w:val="4"/>
                <w:numId w:val="11"/>
              </w:numPr>
              <w:overflowPunct w:val="0"/>
              <w:autoSpaceDE w:val="0"/>
              <w:autoSpaceDN w:val="0"/>
              <w:adjustRightInd w:val="0"/>
              <w:spacing w:after="120"/>
              <w:ind w:firstLineChars="0"/>
              <w:textAlignment w:val="baseline"/>
              <w:rPr>
                <w:sz w:val="20"/>
                <w:szCs w:val="20"/>
                <w:lang w:val="sv-SE" w:eastAsia="zh-CN"/>
              </w:rPr>
            </w:pPr>
            <w:r>
              <w:rPr>
                <w:sz w:val="20"/>
                <w:szCs w:val="20"/>
                <w:lang w:val="sv-SE" w:eastAsia="zh-CN"/>
              </w:rPr>
              <w:t xml:space="preserve"> A new UE triggered report is specified to report energy headroom to the network in form of “UE can transmit at maximum transmit power for X seconds out of next Y seconds.”</w:t>
            </w:r>
          </w:p>
          <w:p>
            <w:pPr>
              <w:pStyle w:val="34"/>
              <w:numPr>
                <w:ilvl w:val="4"/>
                <w:numId w:val="11"/>
              </w:numPr>
              <w:overflowPunct w:val="0"/>
              <w:autoSpaceDE w:val="0"/>
              <w:autoSpaceDN w:val="0"/>
              <w:adjustRightInd w:val="0"/>
              <w:spacing w:after="120"/>
              <w:ind w:firstLineChars="0"/>
              <w:textAlignment w:val="baseline"/>
              <w:rPr>
                <w:sz w:val="20"/>
                <w:szCs w:val="20"/>
                <w:lang w:val="sv-SE" w:eastAsia="zh-CN"/>
              </w:rPr>
            </w:pPr>
            <w:r>
              <w:rPr>
                <w:sz w:val="20"/>
                <w:szCs w:val="20"/>
                <w:lang w:val="sv-SE" w:eastAsia="zh-CN"/>
              </w:rPr>
              <w:t>For X and Y, consider value range from 100ms to 5s with 100ms granularity.</w:t>
            </w:r>
          </w:p>
          <w:p>
            <w:pPr>
              <w:pStyle w:val="34"/>
              <w:numPr>
                <w:ilvl w:val="4"/>
                <w:numId w:val="11"/>
              </w:numPr>
              <w:overflowPunct w:val="0"/>
              <w:autoSpaceDE w:val="0"/>
              <w:autoSpaceDN w:val="0"/>
              <w:adjustRightInd w:val="0"/>
              <w:spacing w:after="120"/>
              <w:ind w:firstLineChars="0"/>
              <w:textAlignment w:val="baseline"/>
              <w:rPr>
                <w:sz w:val="20"/>
                <w:szCs w:val="20"/>
                <w:lang w:val="sv-SE" w:eastAsia="zh-CN"/>
              </w:rPr>
            </w:pPr>
            <w:r>
              <w:rPr>
                <w:sz w:val="20"/>
                <w:szCs w:val="20"/>
                <w:lang w:val="sv-SE" w:eastAsia="zh-CN"/>
              </w:rPr>
              <w:t>Starting time for the indicated values is the transmission time of the report.</w:t>
            </w:r>
          </w:p>
          <w:p>
            <w:pPr>
              <w:pStyle w:val="34"/>
              <w:numPr>
                <w:ilvl w:val="4"/>
                <w:numId w:val="11"/>
              </w:numPr>
              <w:overflowPunct w:val="0"/>
              <w:autoSpaceDE w:val="0"/>
              <w:autoSpaceDN w:val="0"/>
              <w:adjustRightInd w:val="0"/>
              <w:spacing w:after="120"/>
              <w:ind w:firstLineChars="0"/>
              <w:textAlignment w:val="baseline"/>
              <w:rPr>
                <w:sz w:val="20"/>
                <w:szCs w:val="20"/>
                <w:lang w:val="sv-SE" w:eastAsia="zh-CN"/>
              </w:rPr>
            </w:pPr>
            <w:r>
              <w:rPr>
                <w:sz w:val="20"/>
                <w:szCs w:val="20"/>
                <w:lang w:val="sv-SE" w:eastAsia="zh-CN"/>
              </w:rPr>
              <w:t>Send an LS to RAN2 to specify energy headroom reporting.</w:t>
            </w:r>
          </w:p>
          <w:p>
            <w:pPr>
              <w:pStyle w:val="34"/>
              <w:numPr>
                <w:ilvl w:val="4"/>
                <w:numId w:val="11"/>
              </w:numPr>
              <w:overflowPunct w:val="0"/>
              <w:autoSpaceDE w:val="0"/>
              <w:autoSpaceDN w:val="0"/>
              <w:adjustRightInd w:val="0"/>
              <w:spacing w:after="120"/>
              <w:ind w:firstLineChars="0"/>
              <w:textAlignment w:val="baseline"/>
              <w:rPr>
                <w:sz w:val="20"/>
                <w:szCs w:val="20"/>
                <w:lang w:val="sv-SE" w:eastAsia="zh-CN"/>
              </w:rPr>
            </w:pPr>
            <w:r>
              <w:rPr>
                <w:sz w:val="20"/>
                <w:szCs w:val="20"/>
                <w:lang w:val="sv-SE" w:eastAsia="zh-CN"/>
              </w:rPr>
              <w:t>Allow but do not mandate UE to reduce it’s maximum output power when Tx duty cycle exceeds 50% in a radio frame for PC2 and 2Tx PC1.5. Capture this allowance into specification.</w:t>
            </w:r>
          </w:p>
          <w:p>
            <w:pPr>
              <w:pStyle w:val="34"/>
              <w:numPr>
                <w:ilvl w:val="4"/>
                <w:numId w:val="11"/>
              </w:numPr>
              <w:overflowPunct w:val="0"/>
              <w:autoSpaceDE w:val="0"/>
              <w:autoSpaceDN w:val="0"/>
              <w:adjustRightInd w:val="0"/>
              <w:spacing w:after="120"/>
              <w:ind w:firstLineChars="0"/>
              <w:textAlignment w:val="baseline"/>
              <w:rPr>
                <w:sz w:val="20"/>
                <w:szCs w:val="20"/>
                <w:lang w:val="sv-SE" w:eastAsia="zh-CN"/>
              </w:rPr>
            </w:pPr>
            <w:r>
              <w:rPr>
                <w:sz w:val="20"/>
                <w:szCs w:val="20"/>
                <w:lang w:val="sv-SE" w:eastAsia="zh-CN"/>
              </w:rPr>
              <w:t>Further evaluate potential specification impact from filter power handling for PC1.</w:t>
            </w:r>
          </w:p>
          <w:p>
            <w:pPr>
              <w:pStyle w:val="34"/>
              <w:numPr>
                <w:ilvl w:val="1"/>
                <w:numId w:val="10"/>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Scheme 5: (Ericsson, Sony, Nokia)</w:t>
            </w:r>
          </w:p>
          <w:p>
            <w:pPr>
              <w:pStyle w:val="34"/>
              <w:overflowPunct/>
              <w:autoSpaceDE/>
              <w:autoSpaceDN/>
              <w:adjustRightInd/>
              <w:spacing w:after="120"/>
              <w:ind w:left="1722" w:leftChars="820" w:firstLine="0" w:firstLineChars="0"/>
              <w:textAlignment w:val="auto"/>
              <w:rPr>
                <w:rFonts w:eastAsia="宋体"/>
                <w:sz w:val="20"/>
                <w:szCs w:val="20"/>
                <w:lang w:eastAsia="zh-CN"/>
              </w:rPr>
            </w:pPr>
            <w:r>
              <w:rPr>
                <w:rFonts w:eastAsia="宋体"/>
                <w:sz w:val="20"/>
                <w:szCs w:val="20"/>
                <w:lang w:eastAsia="zh-CN"/>
              </w:rPr>
              <w:t xml:space="preserve">Observation 1: “Duty-cycle” based method is not well designed for FDD bands and is allegedly not used in the field. P-MPR method is used instead, which is on another hand “blind” for the network. </w:t>
            </w:r>
          </w:p>
          <w:p>
            <w:pPr>
              <w:pStyle w:val="34"/>
              <w:overflowPunct/>
              <w:autoSpaceDE/>
              <w:autoSpaceDN/>
              <w:adjustRightInd/>
              <w:spacing w:after="120"/>
              <w:ind w:left="1722" w:leftChars="820" w:firstLine="0" w:firstLineChars="0"/>
              <w:textAlignment w:val="auto"/>
              <w:rPr>
                <w:rFonts w:eastAsia="宋体"/>
                <w:sz w:val="20"/>
                <w:szCs w:val="20"/>
                <w:lang w:eastAsia="zh-CN"/>
              </w:rPr>
            </w:pPr>
            <w:r>
              <w:rPr>
                <w:rFonts w:eastAsia="宋体"/>
                <w:sz w:val="20"/>
                <w:szCs w:val="20"/>
                <w:lang w:eastAsia="zh-CN"/>
              </w:rPr>
              <w:t>Observation 2: “Duty-cycle” based and the P-MPR based methods in combination with reporting of the actual power-capability state of a UE could be considered for NTN HPUEs, similar to Rel-18 enhancements introduced for TN.</w:t>
            </w:r>
          </w:p>
          <w:p>
            <w:pPr>
              <w:pStyle w:val="34"/>
              <w:overflowPunct/>
              <w:autoSpaceDE/>
              <w:autoSpaceDN/>
              <w:adjustRightInd/>
              <w:spacing w:after="120"/>
              <w:ind w:left="1722" w:leftChars="820" w:firstLine="0" w:firstLineChars="0"/>
              <w:textAlignment w:val="auto"/>
              <w:rPr>
                <w:rFonts w:eastAsia="宋体"/>
                <w:sz w:val="20"/>
                <w:szCs w:val="20"/>
                <w:lang w:eastAsia="zh-CN"/>
              </w:rPr>
            </w:pPr>
            <w:r>
              <w:rPr>
                <w:rFonts w:eastAsia="宋体"/>
                <w:sz w:val="20"/>
                <w:szCs w:val="20"/>
                <w:lang w:eastAsia="zh-CN"/>
              </w:rPr>
              <w:t xml:space="preserve">Proposal 1: Both P-MPR and “duty-cycle” based method could be considered, but only if the “duty-cycle” based method is mandatorily accompanied with the ΔPPowerClass reporting, triggered upon uplink duty cycle exceedance or upon return to the power class after the duty cycle exceedance (already introduced in Rel-18 for TN). The same reporting mechanism shall also include the reporting of the actual P-MPR value. </w:t>
            </w:r>
          </w:p>
          <w:p>
            <w:pPr>
              <w:pStyle w:val="34"/>
              <w:overflowPunct/>
              <w:autoSpaceDE/>
              <w:autoSpaceDN/>
              <w:adjustRightInd/>
              <w:spacing w:after="120"/>
              <w:ind w:left="1722" w:leftChars="820" w:firstLine="0" w:firstLineChars="0"/>
              <w:textAlignment w:val="auto"/>
              <w:rPr>
                <w:rFonts w:eastAsia="宋体"/>
                <w:sz w:val="20"/>
                <w:szCs w:val="20"/>
                <w:lang w:eastAsia="zh-CN"/>
              </w:rPr>
            </w:pPr>
            <w:r>
              <w:rPr>
                <w:rFonts w:eastAsia="宋体"/>
                <w:sz w:val="20"/>
                <w:szCs w:val="20"/>
                <w:lang w:eastAsia="zh-CN"/>
              </w:rPr>
              <w:t>Proposal 2: If both the TN “duty-cycle” based method and the P-MPR method accompanied with the ΔPPowerClass reporting are considered for NTN UEs, “Single Entry PHR MAC CE” could be reused with the following reporting details: (Ericsson, Sony)</w:t>
            </w:r>
          </w:p>
          <w:p>
            <w:pPr>
              <w:pStyle w:val="34"/>
              <w:numPr>
                <w:ilvl w:val="2"/>
                <w:numId w:val="10"/>
              </w:numPr>
              <w:overflowPunct w:val="0"/>
              <w:autoSpaceDE w:val="0"/>
              <w:autoSpaceDN w:val="0"/>
              <w:adjustRightInd w:val="0"/>
              <w:spacing w:after="120"/>
              <w:ind w:left="2327" w:leftChars="1108" w:firstLineChars="0"/>
              <w:textAlignment w:val="baseline"/>
              <w:rPr>
                <w:rFonts w:eastAsia="宋体"/>
                <w:sz w:val="20"/>
                <w:szCs w:val="20"/>
              </w:rPr>
            </w:pPr>
            <w:r>
              <w:rPr>
                <w:rFonts w:eastAsia="宋体"/>
                <w:sz w:val="20"/>
                <w:szCs w:val="20"/>
              </w:rPr>
              <w:t>If the P-bit is set to ‘0’, power-class fallback reporting is used due to e.g. a duty cycle exceedance:</w:t>
            </w:r>
          </w:p>
          <w:p>
            <w:pPr>
              <w:pStyle w:val="34"/>
              <w:numPr>
                <w:ilvl w:val="3"/>
                <w:numId w:val="10"/>
              </w:numPr>
              <w:overflowPunct w:val="0"/>
              <w:autoSpaceDE w:val="0"/>
              <w:autoSpaceDN w:val="0"/>
              <w:adjustRightInd w:val="0"/>
              <w:spacing w:after="120"/>
              <w:ind w:left="3083" w:leftChars="1468" w:firstLineChars="0"/>
              <w:textAlignment w:val="baseline"/>
              <w:rPr>
                <w:sz w:val="20"/>
                <w:szCs w:val="20"/>
              </w:rPr>
            </w:pPr>
            <w:r>
              <w:rPr>
                <w:rFonts w:eastAsia="宋体"/>
                <w:sz w:val="20"/>
                <w:szCs w:val="20"/>
              </w:rPr>
              <w:t xml:space="preserve">DPC = ‘00’: </w:t>
            </w:r>
            <w:r>
              <w:rPr>
                <w:sz w:val="20"/>
                <w:szCs w:val="20"/>
              </w:rPr>
              <w:t>the criteria to report DPC is not met</w:t>
            </w:r>
          </w:p>
          <w:p>
            <w:pPr>
              <w:pStyle w:val="34"/>
              <w:numPr>
                <w:ilvl w:val="3"/>
                <w:numId w:val="10"/>
              </w:numPr>
              <w:overflowPunct w:val="0"/>
              <w:autoSpaceDE w:val="0"/>
              <w:autoSpaceDN w:val="0"/>
              <w:adjustRightInd w:val="0"/>
              <w:spacing w:after="120"/>
              <w:ind w:left="3083" w:leftChars="1468" w:firstLineChars="0"/>
              <w:textAlignment w:val="baseline"/>
              <w:rPr>
                <w:sz w:val="20"/>
                <w:szCs w:val="20"/>
              </w:rPr>
            </w:pPr>
            <w:r>
              <w:rPr>
                <w:rFonts w:eastAsia="宋体"/>
                <w:sz w:val="20"/>
                <w:szCs w:val="20"/>
              </w:rPr>
              <w:t xml:space="preserve">DPC = ‘01’: </w:t>
            </w:r>
            <w:r>
              <w:rPr>
                <w:sz w:val="20"/>
                <w:szCs w:val="20"/>
              </w:rPr>
              <w:t>ΔP</w:t>
            </w:r>
            <w:r>
              <w:rPr>
                <w:sz w:val="20"/>
                <w:szCs w:val="20"/>
                <w:vertAlign w:val="subscript"/>
              </w:rPr>
              <w:t>PowerClass</w:t>
            </w:r>
            <w:r>
              <w:rPr>
                <w:sz w:val="20"/>
                <w:szCs w:val="20"/>
              </w:rPr>
              <w:t xml:space="preserve"> = 0 dB</w:t>
            </w:r>
          </w:p>
          <w:p>
            <w:pPr>
              <w:pStyle w:val="34"/>
              <w:numPr>
                <w:ilvl w:val="3"/>
                <w:numId w:val="10"/>
              </w:numPr>
              <w:overflowPunct w:val="0"/>
              <w:autoSpaceDE w:val="0"/>
              <w:autoSpaceDN w:val="0"/>
              <w:adjustRightInd w:val="0"/>
              <w:spacing w:after="120"/>
              <w:ind w:left="3083" w:leftChars="1468" w:firstLineChars="0"/>
              <w:textAlignment w:val="baseline"/>
              <w:rPr>
                <w:sz w:val="20"/>
                <w:szCs w:val="20"/>
              </w:rPr>
            </w:pPr>
            <w:r>
              <w:rPr>
                <w:rFonts w:eastAsia="宋体"/>
                <w:sz w:val="20"/>
                <w:szCs w:val="20"/>
              </w:rPr>
              <w:t xml:space="preserve">DPC = ‘10’: </w:t>
            </w:r>
            <w:r>
              <w:rPr>
                <w:sz w:val="20"/>
                <w:szCs w:val="20"/>
              </w:rPr>
              <w:t>ΔP</w:t>
            </w:r>
            <w:r>
              <w:rPr>
                <w:sz w:val="20"/>
                <w:szCs w:val="20"/>
                <w:vertAlign w:val="subscript"/>
              </w:rPr>
              <w:t>PowerClass</w:t>
            </w:r>
            <w:r>
              <w:rPr>
                <w:sz w:val="20"/>
                <w:szCs w:val="20"/>
              </w:rPr>
              <w:t xml:space="preserve"> = 3 dB</w:t>
            </w:r>
          </w:p>
          <w:p>
            <w:pPr>
              <w:pStyle w:val="34"/>
              <w:numPr>
                <w:ilvl w:val="3"/>
                <w:numId w:val="10"/>
              </w:numPr>
              <w:overflowPunct w:val="0"/>
              <w:autoSpaceDE w:val="0"/>
              <w:autoSpaceDN w:val="0"/>
              <w:adjustRightInd w:val="0"/>
              <w:spacing w:after="120"/>
              <w:ind w:left="3083" w:leftChars="1468" w:firstLineChars="0"/>
              <w:textAlignment w:val="baseline"/>
              <w:rPr>
                <w:sz w:val="20"/>
                <w:szCs w:val="20"/>
              </w:rPr>
            </w:pPr>
            <w:r>
              <w:rPr>
                <w:rFonts w:eastAsia="宋体"/>
                <w:sz w:val="20"/>
                <w:szCs w:val="20"/>
              </w:rPr>
              <w:t xml:space="preserve">DPC = ‘11’: </w:t>
            </w:r>
            <w:r>
              <w:rPr>
                <w:sz w:val="20"/>
                <w:szCs w:val="20"/>
              </w:rPr>
              <w:t>ΔP</w:t>
            </w:r>
            <w:r>
              <w:rPr>
                <w:sz w:val="20"/>
                <w:szCs w:val="20"/>
                <w:vertAlign w:val="subscript"/>
              </w:rPr>
              <w:t>PowerClass</w:t>
            </w:r>
            <w:r>
              <w:rPr>
                <w:sz w:val="20"/>
                <w:szCs w:val="20"/>
              </w:rPr>
              <w:t xml:space="preserve"> = 6 dB</w:t>
            </w:r>
          </w:p>
          <w:p>
            <w:pPr>
              <w:pStyle w:val="34"/>
              <w:numPr>
                <w:ilvl w:val="2"/>
                <w:numId w:val="10"/>
              </w:numPr>
              <w:overflowPunct w:val="0"/>
              <w:autoSpaceDE w:val="0"/>
              <w:autoSpaceDN w:val="0"/>
              <w:adjustRightInd w:val="0"/>
              <w:spacing w:after="120"/>
              <w:ind w:left="2327" w:leftChars="1108" w:firstLineChars="0"/>
              <w:textAlignment w:val="baseline"/>
              <w:rPr>
                <w:rFonts w:eastAsia="宋体"/>
                <w:sz w:val="20"/>
                <w:szCs w:val="20"/>
              </w:rPr>
            </w:pPr>
            <w:r>
              <w:rPr>
                <w:rFonts w:eastAsia="宋体"/>
                <w:sz w:val="20"/>
                <w:szCs w:val="20"/>
              </w:rPr>
              <w:t>If the P-bit is set to ‘1’, P-MPR method is used due to e.g. a duty cycle exceedance (where ΔP</w:t>
            </w:r>
            <w:r>
              <w:rPr>
                <w:rFonts w:eastAsia="宋体"/>
                <w:sz w:val="20"/>
                <w:szCs w:val="20"/>
                <w:vertAlign w:val="subscript"/>
              </w:rPr>
              <w:t>PowerClass</w:t>
            </w:r>
            <w:r>
              <w:rPr>
                <w:rFonts w:eastAsia="宋体"/>
                <w:sz w:val="20"/>
                <w:szCs w:val="20"/>
              </w:rPr>
              <w:t xml:space="preserve"> is not actually applied in P</w:t>
            </w:r>
            <w:r>
              <w:rPr>
                <w:rFonts w:eastAsia="宋体"/>
                <w:sz w:val="20"/>
                <w:szCs w:val="20"/>
                <w:vertAlign w:val="subscript"/>
              </w:rPr>
              <w:t>CMAX,f,c</w:t>
            </w:r>
            <w:r>
              <w:rPr>
                <w:rFonts w:eastAsia="宋体"/>
                <w:sz w:val="20"/>
                <w:szCs w:val="20"/>
              </w:rPr>
              <w:t>):</w:t>
            </w:r>
          </w:p>
          <w:p>
            <w:pPr>
              <w:pStyle w:val="34"/>
              <w:numPr>
                <w:ilvl w:val="3"/>
                <w:numId w:val="10"/>
              </w:numPr>
              <w:overflowPunct w:val="0"/>
              <w:autoSpaceDE w:val="0"/>
              <w:autoSpaceDN w:val="0"/>
              <w:adjustRightInd w:val="0"/>
              <w:spacing w:after="120"/>
              <w:ind w:left="3083" w:leftChars="1468" w:firstLineChars="0"/>
              <w:textAlignment w:val="baseline"/>
              <w:rPr>
                <w:sz w:val="20"/>
                <w:szCs w:val="20"/>
              </w:rPr>
            </w:pPr>
            <w:r>
              <w:rPr>
                <w:rFonts w:eastAsia="宋体"/>
                <w:sz w:val="20"/>
                <w:szCs w:val="20"/>
              </w:rPr>
              <w:t xml:space="preserve">DPC = ‘00’: </w:t>
            </w:r>
            <w:r>
              <w:rPr>
                <w:sz w:val="20"/>
                <w:szCs w:val="20"/>
              </w:rPr>
              <w:t>P-MPR is applied due to a proximity sensor or in case of simultaneous transmissions on multiple RAT(s) for scenarios not in scope of 3GPP RAN specifications</w:t>
            </w:r>
          </w:p>
          <w:p>
            <w:pPr>
              <w:pStyle w:val="34"/>
              <w:numPr>
                <w:ilvl w:val="3"/>
                <w:numId w:val="10"/>
              </w:numPr>
              <w:overflowPunct w:val="0"/>
              <w:autoSpaceDE w:val="0"/>
              <w:autoSpaceDN w:val="0"/>
              <w:adjustRightInd w:val="0"/>
              <w:spacing w:after="120"/>
              <w:ind w:left="3083" w:leftChars="1468" w:firstLineChars="0"/>
              <w:textAlignment w:val="baseline"/>
              <w:rPr>
                <w:sz w:val="20"/>
                <w:szCs w:val="20"/>
              </w:rPr>
            </w:pPr>
            <w:r>
              <w:rPr>
                <w:rFonts w:eastAsia="宋体"/>
                <w:sz w:val="20"/>
                <w:szCs w:val="20"/>
              </w:rPr>
              <w:t xml:space="preserve">DPC = ‘01’: </w:t>
            </w:r>
            <w:r>
              <w:rPr>
                <w:sz w:val="20"/>
                <w:szCs w:val="20"/>
              </w:rPr>
              <w:t>0 dB back-off when P-MPRc = 0dB</w:t>
            </w:r>
          </w:p>
          <w:p>
            <w:pPr>
              <w:pStyle w:val="34"/>
              <w:numPr>
                <w:ilvl w:val="3"/>
                <w:numId w:val="10"/>
              </w:numPr>
              <w:overflowPunct w:val="0"/>
              <w:autoSpaceDE w:val="0"/>
              <w:autoSpaceDN w:val="0"/>
              <w:adjustRightInd w:val="0"/>
              <w:spacing w:after="120"/>
              <w:ind w:left="3083" w:leftChars="1468" w:firstLineChars="0"/>
              <w:textAlignment w:val="baseline"/>
              <w:rPr>
                <w:sz w:val="20"/>
                <w:szCs w:val="20"/>
              </w:rPr>
            </w:pPr>
            <w:r>
              <w:rPr>
                <w:rFonts w:eastAsia="宋体"/>
                <w:sz w:val="20"/>
                <w:szCs w:val="20"/>
              </w:rPr>
              <w:t xml:space="preserve">DPC = ‘10’: </w:t>
            </w:r>
            <w:r>
              <w:rPr>
                <w:sz w:val="20"/>
                <w:szCs w:val="20"/>
              </w:rPr>
              <w:t>3 dB back-off when 0 &lt; P-MPRc ≤ 3 dB</w:t>
            </w:r>
          </w:p>
          <w:p>
            <w:pPr>
              <w:pStyle w:val="34"/>
              <w:numPr>
                <w:ilvl w:val="3"/>
                <w:numId w:val="10"/>
              </w:numPr>
              <w:overflowPunct w:val="0"/>
              <w:autoSpaceDE w:val="0"/>
              <w:autoSpaceDN w:val="0"/>
              <w:adjustRightInd w:val="0"/>
              <w:spacing w:after="120"/>
              <w:ind w:left="3083" w:leftChars="1468" w:firstLineChars="0"/>
              <w:textAlignment w:val="baseline"/>
              <w:rPr>
                <w:sz w:val="20"/>
                <w:szCs w:val="20"/>
              </w:rPr>
            </w:pPr>
            <w:r>
              <w:rPr>
                <w:rFonts w:eastAsia="宋体"/>
                <w:sz w:val="20"/>
                <w:szCs w:val="20"/>
              </w:rPr>
              <w:t xml:space="preserve">DPC = ‘11’: </w:t>
            </w:r>
            <w:r>
              <w:rPr>
                <w:sz w:val="20"/>
                <w:szCs w:val="20"/>
              </w:rPr>
              <w:t>6 dB back-off when 3 &lt; P-MPRc ≤ 6 dB</w:t>
            </w:r>
          </w:p>
          <w:p>
            <w:pPr>
              <w:pStyle w:val="34"/>
              <w:numPr>
                <w:ilvl w:val="1"/>
                <w:numId w:val="10"/>
              </w:numPr>
              <w:overflowPunct/>
              <w:autoSpaceDE/>
              <w:autoSpaceDN/>
              <w:adjustRightInd/>
              <w:spacing w:after="120"/>
              <w:ind w:left="1440" w:firstLineChars="0"/>
              <w:textAlignment w:val="auto"/>
              <w:rPr>
                <w:rFonts w:eastAsia="宋体"/>
                <w:sz w:val="20"/>
                <w:szCs w:val="20"/>
                <w:lang w:eastAsia="zh-CN"/>
              </w:rPr>
            </w:pPr>
            <w:r>
              <w:rPr>
                <w:rFonts w:hint="eastAsia" w:eastAsia="宋体"/>
                <w:sz w:val="20"/>
                <w:szCs w:val="20"/>
                <w:lang w:eastAsia="zh-CN"/>
              </w:rPr>
              <w:t>S</w:t>
            </w:r>
            <w:r>
              <w:rPr>
                <w:rFonts w:eastAsia="宋体"/>
                <w:sz w:val="20"/>
                <w:szCs w:val="20"/>
                <w:lang w:eastAsia="zh-CN"/>
              </w:rPr>
              <w:t>cheme 6: (ViaSat, Inmarsat)</w:t>
            </w:r>
          </w:p>
          <w:p>
            <w:pPr>
              <w:pStyle w:val="34"/>
              <w:overflowPunct/>
              <w:autoSpaceDE/>
              <w:autoSpaceDN/>
              <w:adjustRightInd/>
              <w:spacing w:after="120"/>
              <w:ind w:left="1722" w:leftChars="820" w:firstLine="0" w:firstLineChars="0"/>
              <w:textAlignment w:val="auto"/>
              <w:rPr>
                <w:rFonts w:eastAsia="宋体"/>
                <w:sz w:val="20"/>
                <w:szCs w:val="20"/>
                <w:lang w:eastAsia="zh-CN"/>
              </w:rPr>
            </w:pPr>
            <w:r>
              <w:rPr>
                <w:rFonts w:eastAsia="宋体"/>
                <w:sz w:val="20"/>
                <w:szCs w:val="20"/>
                <w:lang w:eastAsia="zh-CN"/>
              </w:rPr>
              <w:t xml:space="preserve">Observation 4: In a non-terrestrial network, if the UE is using a UL duty cycle significant enough to exceed SAR limits, it is likely at the edge of coverage (using a low MCS with lots of parity), in which case, transmit power backoff is not a preferred option as it will almost invariably lead to radio link failure. </w:t>
            </w:r>
          </w:p>
          <w:p>
            <w:pPr>
              <w:pStyle w:val="34"/>
              <w:overflowPunct/>
              <w:autoSpaceDE/>
              <w:autoSpaceDN/>
              <w:adjustRightInd/>
              <w:spacing w:after="120"/>
              <w:ind w:left="1722" w:leftChars="820" w:firstLine="0" w:firstLineChars="0"/>
              <w:textAlignment w:val="auto"/>
              <w:rPr>
                <w:rFonts w:eastAsia="宋体"/>
                <w:sz w:val="20"/>
                <w:szCs w:val="20"/>
                <w:lang w:eastAsia="zh-CN"/>
              </w:rPr>
            </w:pPr>
            <w:r>
              <w:rPr>
                <w:rFonts w:eastAsia="宋体"/>
                <w:sz w:val="20"/>
                <w:szCs w:val="20"/>
                <w:lang w:eastAsia="zh-CN"/>
              </w:rPr>
              <w:t>Proposal 3: For NTN, extend the existing TN signalling mechanism for UL duty cycle reporting to inform the RAN that it is close to the SAR limit, then the RAN will reduce the number of UL slots allocated to the UE. When the SAR limit has fallen, the UE can signal the improved condition back to the RAN so that the UL slots are picked back up.</w:t>
            </w:r>
          </w:p>
          <w:p>
            <w:pPr>
              <w:pStyle w:val="34"/>
              <w:numPr>
                <w:ilvl w:val="0"/>
                <w:numId w:val="10"/>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WF</w:t>
            </w:r>
          </w:p>
          <w:p>
            <w:pPr>
              <w:pStyle w:val="34"/>
              <w:numPr>
                <w:ilvl w:val="1"/>
                <w:numId w:val="10"/>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Further discuss the proposed schemes related to duty cycle related SAR scheme.</w:t>
            </w:r>
          </w:p>
          <w:p>
            <w:pPr>
              <w:pStyle w:val="34"/>
              <w:numPr>
                <w:ilvl w:val="1"/>
                <w:numId w:val="10"/>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Other schemes or no duty cycle related scheme are not precluded.</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highlight w:val="none"/>
                <w:vertAlign w:val="baseline"/>
                <w:lang w:val="en-US" w:eastAsia="zh-CN"/>
              </w:rPr>
            </w:pPr>
          </w:p>
        </w:tc>
      </w:tr>
    </w:tbl>
    <w:p>
      <w:pPr>
        <w:rPr>
          <w:rFonts w:hint="default"/>
          <w:color w:val="000000"/>
          <w:sz w:val="20"/>
          <w:szCs w:val="20"/>
          <w:lang w:val="en-US" w:eastAsia="zh-CN"/>
        </w:rPr>
      </w:pPr>
      <w:r>
        <w:rPr>
          <w:rFonts w:hint="eastAsia"/>
          <w:color w:val="000000"/>
          <w:sz w:val="20"/>
          <w:szCs w:val="20"/>
          <w:lang w:val="en-US" w:eastAsia="zh-CN"/>
        </w:rPr>
        <w:t xml:space="preserve">Regarding SAR requirement, the way forward is to further discuss the proposed schemes related to duty cycle related SAR scheme. Duty cycle solution has already introduced in TN spec, but not well designed for FDD bands. In actual, duty cycle solution is not common used for FDD bands since it will drop some uplink transmission opportunities.  More general solution is to use P-MPR method in TN HPUE. P-MPR method is defined as follows. For NTN HPUE, we propose to follow the legacy approach to leave it up to p-MPR design instead of defining any uplink duty cycle to guarantee the SAR limits. </w:t>
      </w:r>
    </w:p>
    <w:p>
      <w:pPr>
        <w:rPr>
          <w:rFonts w:hint="default"/>
          <w:color w:val="000000"/>
          <w:sz w:val="20"/>
          <w:szCs w:val="20"/>
          <w:lang w:val="en-US" w:eastAsia="zh-CN"/>
        </w:rPr>
      </w:pPr>
      <w:r>
        <w:rPr>
          <w:rFonts w:hint="eastAsia"/>
          <w:b/>
          <w:bCs/>
          <w:sz w:val="20"/>
          <w:szCs w:val="20"/>
          <w:lang w:val="en-US" w:eastAsia="zh-CN"/>
        </w:rPr>
        <w:t xml:space="preserve">Proposal 2: It is proposed to follow the legacy approach to leave it up to p-MPR design instead of defining any uplink duty cycle to guarantee the SAR limits. </w:t>
      </w:r>
    </w:p>
    <w:p>
      <w:pPr>
        <w:rPr>
          <w:rFonts w:hint="default"/>
          <w:b/>
          <w:b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shared some views on Rx requirements for NR NTN HPUE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sz w:val="20"/>
          <w:szCs w:val="20"/>
          <w:lang w:val="en-US" w:eastAsia="zh-CN"/>
        </w:rPr>
      </w:pPr>
      <w:r>
        <w:rPr>
          <w:rFonts w:hint="eastAsia"/>
          <w:b/>
          <w:bCs/>
          <w:sz w:val="20"/>
          <w:szCs w:val="20"/>
          <w:lang w:val="en-US" w:eastAsia="zh-CN"/>
        </w:rPr>
        <w:t>Proposal 1: Not to limit to the use case with single tone and a limited number of tones.</w:t>
      </w:r>
    </w:p>
    <w:p>
      <w:pPr>
        <w:rPr>
          <w:rFonts w:hint="default"/>
          <w:color w:val="000000"/>
          <w:sz w:val="20"/>
          <w:szCs w:val="20"/>
          <w:lang w:val="en-US" w:eastAsia="zh-CN"/>
        </w:rPr>
      </w:pPr>
      <w:r>
        <w:rPr>
          <w:rFonts w:hint="eastAsia"/>
          <w:b/>
          <w:bCs/>
          <w:sz w:val="20"/>
          <w:szCs w:val="20"/>
          <w:lang w:val="en-US" w:eastAsia="zh-CN"/>
        </w:rPr>
        <w:t>Proposal 2: I</w:t>
      </w:r>
      <w:bookmarkStart w:id="8" w:name="_GoBack"/>
      <w:bookmarkEnd w:id="8"/>
      <w:r>
        <w:rPr>
          <w:rFonts w:hint="eastAsia"/>
          <w:b/>
          <w:bCs/>
          <w:sz w:val="20"/>
          <w:szCs w:val="20"/>
          <w:lang w:val="en-US" w:eastAsia="zh-CN"/>
        </w:rPr>
        <w:t xml:space="preserve">t is proposed to follow the legacy approach to leave it up to p-MPR design instead of defining any uplink duty cycle to guarantee the SAR limits. </w:t>
      </w:r>
    </w:p>
    <w:p>
      <w:pPr>
        <w:rPr>
          <w:rFonts w:hint="eastAsia"/>
          <w:b/>
          <w:b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R4-2505113</w:t>
      </w:r>
      <w:r>
        <w:rPr>
          <w:rFonts w:hint="eastAsia"/>
          <w:color w:val="auto"/>
          <w:sz w:val="20"/>
          <w:szCs w:val="20"/>
          <w:lang w:val="en-US" w:eastAsia="zh-CN"/>
        </w:rPr>
        <w:t>, WF on HPUE RF requirements for NR-NTN, Samsung</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R4-2503842</w:t>
      </w:r>
      <w:r>
        <w:rPr>
          <w:rFonts w:hint="eastAsia"/>
          <w:color w:val="auto"/>
          <w:sz w:val="20"/>
          <w:szCs w:val="20"/>
          <w:lang w:val="en-US" w:eastAsia="zh-CN"/>
        </w:rPr>
        <w:t>, Iot NTN HPUE Tx Requirements and feasibility analysis, vivo, SmarterMicro</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 xml:space="preserve"> </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8623EB3"/>
    <w:multiLevelType w:val="multilevel"/>
    <w:tmpl w:val="38623EB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3E435860"/>
    <w:multiLevelType w:val="multilevel"/>
    <w:tmpl w:val="3E435860"/>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5F723A5E"/>
    <w:multiLevelType w:val="singleLevel"/>
    <w:tmpl w:val="5F723A5E"/>
    <w:lvl w:ilvl="0" w:tentative="0">
      <w:start w:val="1"/>
      <w:numFmt w:val="decimal"/>
      <w:suff w:val="space"/>
      <w:lvlText w:val="[%1]"/>
      <w:lvlJc w:val="left"/>
    </w:lvl>
  </w:abstractNum>
  <w:abstractNum w:abstractNumId="11">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1"/>
  </w:num>
  <w:num w:numId="3">
    <w:abstractNumId w:val="9"/>
  </w:num>
  <w:num w:numId="4">
    <w:abstractNumId w:val="4"/>
  </w:num>
  <w:num w:numId="5">
    <w:abstractNumId w:val="6"/>
  </w:num>
  <w:num w:numId="6">
    <w:abstractNumId w:val="1"/>
  </w:num>
  <w:num w:numId="7">
    <w:abstractNumId w:val="0"/>
  </w:num>
  <w:num w:numId="8">
    <w:abstractNumId w:val="2"/>
  </w:num>
  <w:num w:numId="9">
    <w:abstractNumId w:val="5"/>
  </w:num>
  <w:num w:numId="10">
    <w:abstractNumId w:val="8"/>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EE28B6"/>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5177"/>
    <w:rsid w:val="01101B26"/>
    <w:rsid w:val="011A0B49"/>
    <w:rsid w:val="013E51BE"/>
    <w:rsid w:val="014A0623"/>
    <w:rsid w:val="01536583"/>
    <w:rsid w:val="0156475D"/>
    <w:rsid w:val="015D3EF3"/>
    <w:rsid w:val="016112D3"/>
    <w:rsid w:val="0165788D"/>
    <w:rsid w:val="01757513"/>
    <w:rsid w:val="01764F01"/>
    <w:rsid w:val="018107C9"/>
    <w:rsid w:val="0183684B"/>
    <w:rsid w:val="01854FE9"/>
    <w:rsid w:val="018A47AD"/>
    <w:rsid w:val="018E207B"/>
    <w:rsid w:val="0190283E"/>
    <w:rsid w:val="019C544F"/>
    <w:rsid w:val="019D155B"/>
    <w:rsid w:val="01A428BB"/>
    <w:rsid w:val="01AE307F"/>
    <w:rsid w:val="01B3282A"/>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1F6093"/>
    <w:rsid w:val="022D4A6E"/>
    <w:rsid w:val="023512AC"/>
    <w:rsid w:val="023B0A39"/>
    <w:rsid w:val="023C78A7"/>
    <w:rsid w:val="023F3FD3"/>
    <w:rsid w:val="02444B7E"/>
    <w:rsid w:val="024A5964"/>
    <w:rsid w:val="024B023C"/>
    <w:rsid w:val="024D6B6A"/>
    <w:rsid w:val="024E43D4"/>
    <w:rsid w:val="02510B5E"/>
    <w:rsid w:val="02566C17"/>
    <w:rsid w:val="025829A1"/>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73886"/>
    <w:rsid w:val="02AB0FBC"/>
    <w:rsid w:val="02AE6812"/>
    <w:rsid w:val="02C44392"/>
    <w:rsid w:val="02D16C80"/>
    <w:rsid w:val="02DC3F9C"/>
    <w:rsid w:val="02E3105C"/>
    <w:rsid w:val="02E63DE2"/>
    <w:rsid w:val="02FB6CDA"/>
    <w:rsid w:val="03036B01"/>
    <w:rsid w:val="03052298"/>
    <w:rsid w:val="03073BDC"/>
    <w:rsid w:val="030A6B04"/>
    <w:rsid w:val="030B0647"/>
    <w:rsid w:val="030B2860"/>
    <w:rsid w:val="030C40C1"/>
    <w:rsid w:val="030D2F0B"/>
    <w:rsid w:val="031225C3"/>
    <w:rsid w:val="03147E4E"/>
    <w:rsid w:val="03187492"/>
    <w:rsid w:val="031A08DB"/>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B066B"/>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16CF5"/>
    <w:rsid w:val="04CF6607"/>
    <w:rsid w:val="04D46535"/>
    <w:rsid w:val="04D76F0E"/>
    <w:rsid w:val="04DA1A87"/>
    <w:rsid w:val="04DC0F32"/>
    <w:rsid w:val="04DE2DA3"/>
    <w:rsid w:val="04DF3C0B"/>
    <w:rsid w:val="04EB6DF8"/>
    <w:rsid w:val="04FA3A76"/>
    <w:rsid w:val="04FF1C94"/>
    <w:rsid w:val="04FF33CD"/>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B3F2F"/>
    <w:rsid w:val="059D265F"/>
    <w:rsid w:val="059E1515"/>
    <w:rsid w:val="05AD1B88"/>
    <w:rsid w:val="05B92EC1"/>
    <w:rsid w:val="05D05BD2"/>
    <w:rsid w:val="05DB542B"/>
    <w:rsid w:val="05E078B3"/>
    <w:rsid w:val="05E942A3"/>
    <w:rsid w:val="05EA759F"/>
    <w:rsid w:val="05EE6827"/>
    <w:rsid w:val="0601277E"/>
    <w:rsid w:val="060A2EF6"/>
    <w:rsid w:val="060C5AED"/>
    <w:rsid w:val="06103146"/>
    <w:rsid w:val="06172561"/>
    <w:rsid w:val="061E54DA"/>
    <w:rsid w:val="061E5E22"/>
    <w:rsid w:val="06223FD1"/>
    <w:rsid w:val="062B2FCF"/>
    <w:rsid w:val="063E31D0"/>
    <w:rsid w:val="063F63E4"/>
    <w:rsid w:val="06460B91"/>
    <w:rsid w:val="064E3838"/>
    <w:rsid w:val="0654187C"/>
    <w:rsid w:val="065475DE"/>
    <w:rsid w:val="06556C03"/>
    <w:rsid w:val="06676354"/>
    <w:rsid w:val="066E5330"/>
    <w:rsid w:val="06782F84"/>
    <w:rsid w:val="067C28D6"/>
    <w:rsid w:val="068A55C2"/>
    <w:rsid w:val="068E06BC"/>
    <w:rsid w:val="069201CB"/>
    <w:rsid w:val="06956E2E"/>
    <w:rsid w:val="06A73E04"/>
    <w:rsid w:val="06AC7765"/>
    <w:rsid w:val="06B62C91"/>
    <w:rsid w:val="06B741D9"/>
    <w:rsid w:val="06B756E7"/>
    <w:rsid w:val="06C457B6"/>
    <w:rsid w:val="06CA5532"/>
    <w:rsid w:val="06CD4A70"/>
    <w:rsid w:val="06DC48B6"/>
    <w:rsid w:val="06DF4C13"/>
    <w:rsid w:val="06E7678C"/>
    <w:rsid w:val="06EC7519"/>
    <w:rsid w:val="06F42A88"/>
    <w:rsid w:val="06F801C0"/>
    <w:rsid w:val="06FF7387"/>
    <w:rsid w:val="070644A9"/>
    <w:rsid w:val="070E5E48"/>
    <w:rsid w:val="07105178"/>
    <w:rsid w:val="0712124C"/>
    <w:rsid w:val="071C13A8"/>
    <w:rsid w:val="073D143C"/>
    <w:rsid w:val="074454BD"/>
    <w:rsid w:val="074855FD"/>
    <w:rsid w:val="075B2E87"/>
    <w:rsid w:val="07627CA0"/>
    <w:rsid w:val="076319C4"/>
    <w:rsid w:val="076925D2"/>
    <w:rsid w:val="077241E3"/>
    <w:rsid w:val="07734FD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91502"/>
    <w:rsid w:val="089B79D9"/>
    <w:rsid w:val="08A44DA6"/>
    <w:rsid w:val="08AA245A"/>
    <w:rsid w:val="08AD2ACC"/>
    <w:rsid w:val="08AF46A5"/>
    <w:rsid w:val="08B83318"/>
    <w:rsid w:val="08BA6E24"/>
    <w:rsid w:val="08C024D5"/>
    <w:rsid w:val="08C562FD"/>
    <w:rsid w:val="08CA27B1"/>
    <w:rsid w:val="08D71F7F"/>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743BE1"/>
    <w:rsid w:val="098143BC"/>
    <w:rsid w:val="098500F1"/>
    <w:rsid w:val="098D349A"/>
    <w:rsid w:val="0992510E"/>
    <w:rsid w:val="09B33AE4"/>
    <w:rsid w:val="09BD407A"/>
    <w:rsid w:val="09BF125C"/>
    <w:rsid w:val="09C12CF5"/>
    <w:rsid w:val="09D948FE"/>
    <w:rsid w:val="09DA0E26"/>
    <w:rsid w:val="09DB6437"/>
    <w:rsid w:val="09E55691"/>
    <w:rsid w:val="09F67CD5"/>
    <w:rsid w:val="0A054821"/>
    <w:rsid w:val="0A077A43"/>
    <w:rsid w:val="0A0835C8"/>
    <w:rsid w:val="0A145721"/>
    <w:rsid w:val="0A2317E4"/>
    <w:rsid w:val="0A335AB8"/>
    <w:rsid w:val="0A355EAA"/>
    <w:rsid w:val="0A3708FF"/>
    <w:rsid w:val="0A3B01F9"/>
    <w:rsid w:val="0A3F0488"/>
    <w:rsid w:val="0A402A36"/>
    <w:rsid w:val="0A4236A3"/>
    <w:rsid w:val="0A4E7EF5"/>
    <w:rsid w:val="0A522AF4"/>
    <w:rsid w:val="0A596130"/>
    <w:rsid w:val="0A627392"/>
    <w:rsid w:val="0A646846"/>
    <w:rsid w:val="0A6B3DAF"/>
    <w:rsid w:val="0A7B4D83"/>
    <w:rsid w:val="0A7C1440"/>
    <w:rsid w:val="0A817CBD"/>
    <w:rsid w:val="0A8251CA"/>
    <w:rsid w:val="0A8828AB"/>
    <w:rsid w:val="0A927DC1"/>
    <w:rsid w:val="0A951165"/>
    <w:rsid w:val="0A9B4F7F"/>
    <w:rsid w:val="0A9C263A"/>
    <w:rsid w:val="0A9D54CD"/>
    <w:rsid w:val="0A9E3D3D"/>
    <w:rsid w:val="0AA077E0"/>
    <w:rsid w:val="0AA5327C"/>
    <w:rsid w:val="0ABF16D7"/>
    <w:rsid w:val="0AC01F88"/>
    <w:rsid w:val="0AC0212C"/>
    <w:rsid w:val="0AC17420"/>
    <w:rsid w:val="0AC3085F"/>
    <w:rsid w:val="0AD542C1"/>
    <w:rsid w:val="0ADD5A20"/>
    <w:rsid w:val="0AE10FD9"/>
    <w:rsid w:val="0AF13898"/>
    <w:rsid w:val="0AFA298B"/>
    <w:rsid w:val="0AFB3228"/>
    <w:rsid w:val="0AFC6C07"/>
    <w:rsid w:val="0AFD25E6"/>
    <w:rsid w:val="0AFF6A66"/>
    <w:rsid w:val="0B0130D7"/>
    <w:rsid w:val="0B0250FD"/>
    <w:rsid w:val="0B0331F5"/>
    <w:rsid w:val="0B0F025C"/>
    <w:rsid w:val="0B1A6333"/>
    <w:rsid w:val="0B267BFC"/>
    <w:rsid w:val="0B2713F4"/>
    <w:rsid w:val="0B2D2F43"/>
    <w:rsid w:val="0B334367"/>
    <w:rsid w:val="0B3B1BC1"/>
    <w:rsid w:val="0B3B5196"/>
    <w:rsid w:val="0B3D701F"/>
    <w:rsid w:val="0B3E7DD7"/>
    <w:rsid w:val="0B491629"/>
    <w:rsid w:val="0B4B40F9"/>
    <w:rsid w:val="0B554398"/>
    <w:rsid w:val="0B561995"/>
    <w:rsid w:val="0B5C2C2A"/>
    <w:rsid w:val="0B6148D2"/>
    <w:rsid w:val="0B665E0A"/>
    <w:rsid w:val="0B680DC4"/>
    <w:rsid w:val="0B6F6271"/>
    <w:rsid w:val="0B7C0E60"/>
    <w:rsid w:val="0B847B39"/>
    <w:rsid w:val="0B987E20"/>
    <w:rsid w:val="0B9E71DF"/>
    <w:rsid w:val="0BA65BCD"/>
    <w:rsid w:val="0BAD5CC5"/>
    <w:rsid w:val="0BAD5EDC"/>
    <w:rsid w:val="0BAF59B9"/>
    <w:rsid w:val="0BB524B8"/>
    <w:rsid w:val="0BB756DF"/>
    <w:rsid w:val="0BC63DB2"/>
    <w:rsid w:val="0BCC4043"/>
    <w:rsid w:val="0BCC4B6A"/>
    <w:rsid w:val="0BD66314"/>
    <w:rsid w:val="0BE2291A"/>
    <w:rsid w:val="0C07043D"/>
    <w:rsid w:val="0C0B2EA8"/>
    <w:rsid w:val="0C1E494F"/>
    <w:rsid w:val="0C3427D0"/>
    <w:rsid w:val="0C3B2E96"/>
    <w:rsid w:val="0C43327D"/>
    <w:rsid w:val="0C4426AF"/>
    <w:rsid w:val="0C453647"/>
    <w:rsid w:val="0C4577EC"/>
    <w:rsid w:val="0C4F3B0E"/>
    <w:rsid w:val="0C4F7881"/>
    <w:rsid w:val="0C527696"/>
    <w:rsid w:val="0C5A77EA"/>
    <w:rsid w:val="0C5C6396"/>
    <w:rsid w:val="0C63431B"/>
    <w:rsid w:val="0C650A20"/>
    <w:rsid w:val="0C690EFA"/>
    <w:rsid w:val="0C6E11B8"/>
    <w:rsid w:val="0C723CD1"/>
    <w:rsid w:val="0C7C294A"/>
    <w:rsid w:val="0C825F28"/>
    <w:rsid w:val="0C874EE1"/>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459D7"/>
    <w:rsid w:val="0D1B1E9C"/>
    <w:rsid w:val="0D1C2E6E"/>
    <w:rsid w:val="0D4B44A1"/>
    <w:rsid w:val="0D6811B4"/>
    <w:rsid w:val="0D6E2620"/>
    <w:rsid w:val="0D704E21"/>
    <w:rsid w:val="0D7F48FE"/>
    <w:rsid w:val="0D883C88"/>
    <w:rsid w:val="0D8A6002"/>
    <w:rsid w:val="0D9074CF"/>
    <w:rsid w:val="0D936E72"/>
    <w:rsid w:val="0D966BF7"/>
    <w:rsid w:val="0DB54F84"/>
    <w:rsid w:val="0DB84465"/>
    <w:rsid w:val="0DBB2DE4"/>
    <w:rsid w:val="0DCC3AE8"/>
    <w:rsid w:val="0DD87842"/>
    <w:rsid w:val="0DDB2C34"/>
    <w:rsid w:val="0DDE2885"/>
    <w:rsid w:val="0DEF012A"/>
    <w:rsid w:val="0DF202E1"/>
    <w:rsid w:val="0DF53CE3"/>
    <w:rsid w:val="0DFC6867"/>
    <w:rsid w:val="0E0961C5"/>
    <w:rsid w:val="0E0C6AA6"/>
    <w:rsid w:val="0E147898"/>
    <w:rsid w:val="0E160A2D"/>
    <w:rsid w:val="0E264DDB"/>
    <w:rsid w:val="0E2F216B"/>
    <w:rsid w:val="0E327317"/>
    <w:rsid w:val="0E3352C6"/>
    <w:rsid w:val="0E360EDA"/>
    <w:rsid w:val="0E3A5EE2"/>
    <w:rsid w:val="0E542F3B"/>
    <w:rsid w:val="0E5757F7"/>
    <w:rsid w:val="0E591BF0"/>
    <w:rsid w:val="0E6271DF"/>
    <w:rsid w:val="0E6438B9"/>
    <w:rsid w:val="0E78367D"/>
    <w:rsid w:val="0E81568A"/>
    <w:rsid w:val="0E903E3B"/>
    <w:rsid w:val="0E942250"/>
    <w:rsid w:val="0E963344"/>
    <w:rsid w:val="0E9E6E00"/>
    <w:rsid w:val="0EA40C1C"/>
    <w:rsid w:val="0EAA60DD"/>
    <w:rsid w:val="0EAA759E"/>
    <w:rsid w:val="0EAF381F"/>
    <w:rsid w:val="0EB72E4B"/>
    <w:rsid w:val="0ECE6156"/>
    <w:rsid w:val="0ED7627B"/>
    <w:rsid w:val="0EEC6F1D"/>
    <w:rsid w:val="0F0621F6"/>
    <w:rsid w:val="0F084F33"/>
    <w:rsid w:val="0F103291"/>
    <w:rsid w:val="0F15660A"/>
    <w:rsid w:val="0F1D0EA6"/>
    <w:rsid w:val="0F1D498B"/>
    <w:rsid w:val="0F22242C"/>
    <w:rsid w:val="0F2D0B0D"/>
    <w:rsid w:val="0F337178"/>
    <w:rsid w:val="0F3B15FC"/>
    <w:rsid w:val="0F41022A"/>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CF4195"/>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6D650E"/>
    <w:rsid w:val="107407B6"/>
    <w:rsid w:val="10786F12"/>
    <w:rsid w:val="107C3E2C"/>
    <w:rsid w:val="107D41AE"/>
    <w:rsid w:val="1089095C"/>
    <w:rsid w:val="108C2479"/>
    <w:rsid w:val="10AC12D0"/>
    <w:rsid w:val="10B3132B"/>
    <w:rsid w:val="10B367A8"/>
    <w:rsid w:val="10C715C5"/>
    <w:rsid w:val="10D335EF"/>
    <w:rsid w:val="10E255A6"/>
    <w:rsid w:val="10E746EA"/>
    <w:rsid w:val="10E83FE0"/>
    <w:rsid w:val="10EC3168"/>
    <w:rsid w:val="10F02A44"/>
    <w:rsid w:val="10F52718"/>
    <w:rsid w:val="10F70AE6"/>
    <w:rsid w:val="10F80ADC"/>
    <w:rsid w:val="110000F0"/>
    <w:rsid w:val="111071DE"/>
    <w:rsid w:val="11123EF8"/>
    <w:rsid w:val="11124F2E"/>
    <w:rsid w:val="11125358"/>
    <w:rsid w:val="11154189"/>
    <w:rsid w:val="111B69FE"/>
    <w:rsid w:val="111F38A5"/>
    <w:rsid w:val="111F6CBE"/>
    <w:rsid w:val="112D2A42"/>
    <w:rsid w:val="112D7B86"/>
    <w:rsid w:val="113A22DB"/>
    <w:rsid w:val="114028DC"/>
    <w:rsid w:val="11441C15"/>
    <w:rsid w:val="11583891"/>
    <w:rsid w:val="1159252B"/>
    <w:rsid w:val="1160765D"/>
    <w:rsid w:val="116C6652"/>
    <w:rsid w:val="116F1EB0"/>
    <w:rsid w:val="11727495"/>
    <w:rsid w:val="117A242E"/>
    <w:rsid w:val="117B1D6A"/>
    <w:rsid w:val="117C2D9D"/>
    <w:rsid w:val="117F159E"/>
    <w:rsid w:val="11821DC9"/>
    <w:rsid w:val="11824A0F"/>
    <w:rsid w:val="11897A08"/>
    <w:rsid w:val="11921373"/>
    <w:rsid w:val="119A72EE"/>
    <w:rsid w:val="119D7849"/>
    <w:rsid w:val="11A61272"/>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A65F4"/>
    <w:rsid w:val="120F1E38"/>
    <w:rsid w:val="1210682D"/>
    <w:rsid w:val="122215D3"/>
    <w:rsid w:val="122510AD"/>
    <w:rsid w:val="122F0F93"/>
    <w:rsid w:val="123A05DB"/>
    <w:rsid w:val="124240B9"/>
    <w:rsid w:val="124702AB"/>
    <w:rsid w:val="12491684"/>
    <w:rsid w:val="124D0988"/>
    <w:rsid w:val="124E44B4"/>
    <w:rsid w:val="125067C3"/>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B0B16"/>
    <w:rsid w:val="12EE5106"/>
    <w:rsid w:val="12F777F2"/>
    <w:rsid w:val="1307341C"/>
    <w:rsid w:val="130C40FE"/>
    <w:rsid w:val="130E3629"/>
    <w:rsid w:val="13125197"/>
    <w:rsid w:val="131B39DD"/>
    <w:rsid w:val="13283BA4"/>
    <w:rsid w:val="132974BB"/>
    <w:rsid w:val="13332F77"/>
    <w:rsid w:val="13334E1C"/>
    <w:rsid w:val="13346EE4"/>
    <w:rsid w:val="13354BA1"/>
    <w:rsid w:val="13384952"/>
    <w:rsid w:val="134B49D4"/>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044B9"/>
    <w:rsid w:val="13E20C66"/>
    <w:rsid w:val="13FD073F"/>
    <w:rsid w:val="14001419"/>
    <w:rsid w:val="140171D9"/>
    <w:rsid w:val="1405674E"/>
    <w:rsid w:val="140662E7"/>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7B4C11"/>
    <w:rsid w:val="14816B50"/>
    <w:rsid w:val="148313F4"/>
    <w:rsid w:val="1485665F"/>
    <w:rsid w:val="14934F1A"/>
    <w:rsid w:val="149411C1"/>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355FA8"/>
    <w:rsid w:val="154806E1"/>
    <w:rsid w:val="154D342A"/>
    <w:rsid w:val="15581ED5"/>
    <w:rsid w:val="1559587F"/>
    <w:rsid w:val="155E7DEC"/>
    <w:rsid w:val="15740334"/>
    <w:rsid w:val="1574662E"/>
    <w:rsid w:val="15751882"/>
    <w:rsid w:val="1575191B"/>
    <w:rsid w:val="157818C6"/>
    <w:rsid w:val="159F73BB"/>
    <w:rsid w:val="15A502D0"/>
    <w:rsid w:val="15AD52A1"/>
    <w:rsid w:val="15B03F28"/>
    <w:rsid w:val="15C15E25"/>
    <w:rsid w:val="15C42571"/>
    <w:rsid w:val="15E30A80"/>
    <w:rsid w:val="15E87214"/>
    <w:rsid w:val="15F1008F"/>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25DF2"/>
    <w:rsid w:val="16766A92"/>
    <w:rsid w:val="167A52A9"/>
    <w:rsid w:val="167B20D8"/>
    <w:rsid w:val="167B7B40"/>
    <w:rsid w:val="167C6594"/>
    <w:rsid w:val="167F70BF"/>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7500B"/>
    <w:rsid w:val="16C86CDB"/>
    <w:rsid w:val="16CC2B4C"/>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72148A"/>
    <w:rsid w:val="17850F99"/>
    <w:rsid w:val="17875303"/>
    <w:rsid w:val="178815C4"/>
    <w:rsid w:val="17891C0B"/>
    <w:rsid w:val="178D6E7A"/>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2DB7"/>
    <w:rsid w:val="17F33DC6"/>
    <w:rsid w:val="17F45149"/>
    <w:rsid w:val="17FD061B"/>
    <w:rsid w:val="17FD20FD"/>
    <w:rsid w:val="17FF6314"/>
    <w:rsid w:val="18005F41"/>
    <w:rsid w:val="18025414"/>
    <w:rsid w:val="18171305"/>
    <w:rsid w:val="1820454C"/>
    <w:rsid w:val="1829280B"/>
    <w:rsid w:val="18327337"/>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8F365D"/>
    <w:rsid w:val="189252B6"/>
    <w:rsid w:val="18956393"/>
    <w:rsid w:val="189C5943"/>
    <w:rsid w:val="18A8582C"/>
    <w:rsid w:val="18B135C0"/>
    <w:rsid w:val="18B50543"/>
    <w:rsid w:val="18CA40C3"/>
    <w:rsid w:val="18CD7A02"/>
    <w:rsid w:val="18D82C17"/>
    <w:rsid w:val="18D904AC"/>
    <w:rsid w:val="18DC1AEF"/>
    <w:rsid w:val="18DF5689"/>
    <w:rsid w:val="18EA3EC7"/>
    <w:rsid w:val="18F74015"/>
    <w:rsid w:val="19001FFC"/>
    <w:rsid w:val="19002350"/>
    <w:rsid w:val="19083894"/>
    <w:rsid w:val="190E2B4A"/>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CC2AA0"/>
    <w:rsid w:val="19CE5CE6"/>
    <w:rsid w:val="19E24986"/>
    <w:rsid w:val="19E256B5"/>
    <w:rsid w:val="19E54655"/>
    <w:rsid w:val="19F061A1"/>
    <w:rsid w:val="19F409F4"/>
    <w:rsid w:val="19F81E45"/>
    <w:rsid w:val="1A054259"/>
    <w:rsid w:val="1A081816"/>
    <w:rsid w:val="1A0C5680"/>
    <w:rsid w:val="1A165171"/>
    <w:rsid w:val="1A2112A1"/>
    <w:rsid w:val="1A3068A4"/>
    <w:rsid w:val="1A410451"/>
    <w:rsid w:val="1A4858FF"/>
    <w:rsid w:val="1A4C2DB9"/>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04DEE"/>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099A"/>
    <w:rsid w:val="1BE32C74"/>
    <w:rsid w:val="1BE44BE2"/>
    <w:rsid w:val="1BF72906"/>
    <w:rsid w:val="1BFB481C"/>
    <w:rsid w:val="1BFE5FF9"/>
    <w:rsid w:val="1BFE7B2D"/>
    <w:rsid w:val="1C013494"/>
    <w:rsid w:val="1C053414"/>
    <w:rsid w:val="1C132CB9"/>
    <w:rsid w:val="1C1642A1"/>
    <w:rsid w:val="1C2146C5"/>
    <w:rsid w:val="1C240174"/>
    <w:rsid w:val="1C273D33"/>
    <w:rsid w:val="1C274BC0"/>
    <w:rsid w:val="1C2B0BE0"/>
    <w:rsid w:val="1C4032AB"/>
    <w:rsid w:val="1C4672ED"/>
    <w:rsid w:val="1C467AB6"/>
    <w:rsid w:val="1C5800BC"/>
    <w:rsid w:val="1C591347"/>
    <w:rsid w:val="1C6277A9"/>
    <w:rsid w:val="1C7100AE"/>
    <w:rsid w:val="1C750818"/>
    <w:rsid w:val="1C7F54CE"/>
    <w:rsid w:val="1C7F743F"/>
    <w:rsid w:val="1C8C4AA9"/>
    <w:rsid w:val="1C8C604B"/>
    <w:rsid w:val="1C8F53D9"/>
    <w:rsid w:val="1C92160B"/>
    <w:rsid w:val="1C973EEF"/>
    <w:rsid w:val="1C9B77F5"/>
    <w:rsid w:val="1C9E22B6"/>
    <w:rsid w:val="1CA03243"/>
    <w:rsid w:val="1CAC112E"/>
    <w:rsid w:val="1CAF5DB2"/>
    <w:rsid w:val="1CB40DF1"/>
    <w:rsid w:val="1CB86812"/>
    <w:rsid w:val="1CB93C74"/>
    <w:rsid w:val="1CC11084"/>
    <w:rsid w:val="1CC71DD3"/>
    <w:rsid w:val="1CCC26CA"/>
    <w:rsid w:val="1CCD0C7D"/>
    <w:rsid w:val="1CD2156B"/>
    <w:rsid w:val="1CD41743"/>
    <w:rsid w:val="1CD44D3D"/>
    <w:rsid w:val="1CD77F43"/>
    <w:rsid w:val="1CDA4887"/>
    <w:rsid w:val="1CE45EF5"/>
    <w:rsid w:val="1CE615C9"/>
    <w:rsid w:val="1CED1E7E"/>
    <w:rsid w:val="1D037029"/>
    <w:rsid w:val="1D0A6B98"/>
    <w:rsid w:val="1D1910BD"/>
    <w:rsid w:val="1D227612"/>
    <w:rsid w:val="1D3305FF"/>
    <w:rsid w:val="1D395282"/>
    <w:rsid w:val="1D40749C"/>
    <w:rsid w:val="1D4251BA"/>
    <w:rsid w:val="1D4E4F63"/>
    <w:rsid w:val="1D5A65E9"/>
    <w:rsid w:val="1D5B2FF2"/>
    <w:rsid w:val="1D5F5386"/>
    <w:rsid w:val="1D70348C"/>
    <w:rsid w:val="1D7072CE"/>
    <w:rsid w:val="1D794A16"/>
    <w:rsid w:val="1D80759A"/>
    <w:rsid w:val="1D8A021B"/>
    <w:rsid w:val="1D935671"/>
    <w:rsid w:val="1D9E30A9"/>
    <w:rsid w:val="1DAB1006"/>
    <w:rsid w:val="1DAB2A0A"/>
    <w:rsid w:val="1DB33C11"/>
    <w:rsid w:val="1DC65562"/>
    <w:rsid w:val="1DD34749"/>
    <w:rsid w:val="1DD34B91"/>
    <w:rsid w:val="1DDD201B"/>
    <w:rsid w:val="1DE94164"/>
    <w:rsid w:val="1DEE1B11"/>
    <w:rsid w:val="1DEF316F"/>
    <w:rsid w:val="1E105A20"/>
    <w:rsid w:val="1E164B52"/>
    <w:rsid w:val="1E207CA6"/>
    <w:rsid w:val="1E26583C"/>
    <w:rsid w:val="1E273844"/>
    <w:rsid w:val="1E2945B6"/>
    <w:rsid w:val="1E2F243E"/>
    <w:rsid w:val="1E3B4F6B"/>
    <w:rsid w:val="1E3D2556"/>
    <w:rsid w:val="1E455D19"/>
    <w:rsid w:val="1E595CAF"/>
    <w:rsid w:val="1E5C31E8"/>
    <w:rsid w:val="1E610C87"/>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850AF9"/>
    <w:rsid w:val="1F935819"/>
    <w:rsid w:val="1FA036A3"/>
    <w:rsid w:val="1FA628A2"/>
    <w:rsid w:val="1FA6556D"/>
    <w:rsid w:val="1FA73A37"/>
    <w:rsid w:val="1FAF2571"/>
    <w:rsid w:val="1FB33036"/>
    <w:rsid w:val="1FC55EDA"/>
    <w:rsid w:val="1FC658C9"/>
    <w:rsid w:val="1FCE593C"/>
    <w:rsid w:val="1FE312AC"/>
    <w:rsid w:val="1FEC5915"/>
    <w:rsid w:val="1FED32EF"/>
    <w:rsid w:val="1FF82884"/>
    <w:rsid w:val="200079F9"/>
    <w:rsid w:val="201E6D7C"/>
    <w:rsid w:val="20446081"/>
    <w:rsid w:val="204852AD"/>
    <w:rsid w:val="204A5E48"/>
    <w:rsid w:val="204A6449"/>
    <w:rsid w:val="204E6676"/>
    <w:rsid w:val="20523B02"/>
    <w:rsid w:val="20580C17"/>
    <w:rsid w:val="20595924"/>
    <w:rsid w:val="205A5AA0"/>
    <w:rsid w:val="206408C4"/>
    <w:rsid w:val="20773A28"/>
    <w:rsid w:val="208574F4"/>
    <w:rsid w:val="20872047"/>
    <w:rsid w:val="2089606E"/>
    <w:rsid w:val="208C4449"/>
    <w:rsid w:val="208F6BAF"/>
    <w:rsid w:val="209414DB"/>
    <w:rsid w:val="20A462BA"/>
    <w:rsid w:val="20BF2AAC"/>
    <w:rsid w:val="20C849C7"/>
    <w:rsid w:val="20DF66D2"/>
    <w:rsid w:val="20EC3F2E"/>
    <w:rsid w:val="20EC7C3E"/>
    <w:rsid w:val="20F07537"/>
    <w:rsid w:val="20FA77BC"/>
    <w:rsid w:val="210548E9"/>
    <w:rsid w:val="210C336C"/>
    <w:rsid w:val="210D14B3"/>
    <w:rsid w:val="21124D15"/>
    <w:rsid w:val="21164A79"/>
    <w:rsid w:val="211C7DEA"/>
    <w:rsid w:val="21332BF6"/>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5A87"/>
    <w:rsid w:val="21C67C42"/>
    <w:rsid w:val="21CB6217"/>
    <w:rsid w:val="21CD6BCD"/>
    <w:rsid w:val="21CE6067"/>
    <w:rsid w:val="21CF439A"/>
    <w:rsid w:val="21D824E4"/>
    <w:rsid w:val="21E35D49"/>
    <w:rsid w:val="21F00127"/>
    <w:rsid w:val="21F7745C"/>
    <w:rsid w:val="22035C75"/>
    <w:rsid w:val="22106FD4"/>
    <w:rsid w:val="221D2FA3"/>
    <w:rsid w:val="221E50E4"/>
    <w:rsid w:val="2226635F"/>
    <w:rsid w:val="222D4F0B"/>
    <w:rsid w:val="223A29CF"/>
    <w:rsid w:val="223D7545"/>
    <w:rsid w:val="22411D14"/>
    <w:rsid w:val="22423BE1"/>
    <w:rsid w:val="22454449"/>
    <w:rsid w:val="22500810"/>
    <w:rsid w:val="22596EC8"/>
    <w:rsid w:val="226347BD"/>
    <w:rsid w:val="22682935"/>
    <w:rsid w:val="226D3C33"/>
    <w:rsid w:val="226E0A7E"/>
    <w:rsid w:val="227E0D30"/>
    <w:rsid w:val="227E7CD6"/>
    <w:rsid w:val="228A4698"/>
    <w:rsid w:val="22914245"/>
    <w:rsid w:val="22925971"/>
    <w:rsid w:val="22945167"/>
    <w:rsid w:val="229B0BE2"/>
    <w:rsid w:val="22A55CD5"/>
    <w:rsid w:val="22C558BB"/>
    <w:rsid w:val="22C74EE2"/>
    <w:rsid w:val="22CA188A"/>
    <w:rsid w:val="22CB6237"/>
    <w:rsid w:val="22CD14B5"/>
    <w:rsid w:val="22E02C6E"/>
    <w:rsid w:val="22E04FF4"/>
    <w:rsid w:val="22E1121B"/>
    <w:rsid w:val="22EA4C70"/>
    <w:rsid w:val="22F15AB9"/>
    <w:rsid w:val="22F75251"/>
    <w:rsid w:val="22F7746D"/>
    <w:rsid w:val="22F86F75"/>
    <w:rsid w:val="22FB4D32"/>
    <w:rsid w:val="22FC72E3"/>
    <w:rsid w:val="23131055"/>
    <w:rsid w:val="23146AC2"/>
    <w:rsid w:val="232C2DD6"/>
    <w:rsid w:val="233C6F76"/>
    <w:rsid w:val="234449F5"/>
    <w:rsid w:val="23536618"/>
    <w:rsid w:val="236C1BCA"/>
    <w:rsid w:val="237464D5"/>
    <w:rsid w:val="23812C99"/>
    <w:rsid w:val="23816932"/>
    <w:rsid w:val="238E01E4"/>
    <w:rsid w:val="23925D42"/>
    <w:rsid w:val="239C062C"/>
    <w:rsid w:val="23A9484E"/>
    <w:rsid w:val="23B32F98"/>
    <w:rsid w:val="23B84268"/>
    <w:rsid w:val="23C64686"/>
    <w:rsid w:val="23D17D7B"/>
    <w:rsid w:val="23D36D91"/>
    <w:rsid w:val="23E02099"/>
    <w:rsid w:val="23E65AD0"/>
    <w:rsid w:val="23EF1757"/>
    <w:rsid w:val="23F70BA5"/>
    <w:rsid w:val="23F93D0D"/>
    <w:rsid w:val="2405417E"/>
    <w:rsid w:val="24197365"/>
    <w:rsid w:val="241B5C62"/>
    <w:rsid w:val="242A4D36"/>
    <w:rsid w:val="242A56EB"/>
    <w:rsid w:val="24312CB0"/>
    <w:rsid w:val="243A6CBE"/>
    <w:rsid w:val="24513B48"/>
    <w:rsid w:val="2458381E"/>
    <w:rsid w:val="245872F9"/>
    <w:rsid w:val="245943D9"/>
    <w:rsid w:val="245E6B64"/>
    <w:rsid w:val="2463385E"/>
    <w:rsid w:val="246B2606"/>
    <w:rsid w:val="24767C7B"/>
    <w:rsid w:val="247C178B"/>
    <w:rsid w:val="247E39CA"/>
    <w:rsid w:val="24861BCE"/>
    <w:rsid w:val="2486388F"/>
    <w:rsid w:val="24967323"/>
    <w:rsid w:val="249D5FC8"/>
    <w:rsid w:val="24A1538E"/>
    <w:rsid w:val="24B9450F"/>
    <w:rsid w:val="24C25350"/>
    <w:rsid w:val="24C83F94"/>
    <w:rsid w:val="24D82EE2"/>
    <w:rsid w:val="24DA4806"/>
    <w:rsid w:val="24DF46F6"/>
    <w:rsid w:val="24F60CDA"/>
    <w:rsid w:val="24F80EA8"/>
    <w:rsid w:val="24FE42EB"/>
    <w:rsid w:val="25090336"/>
    <w:rsid w:val="250D450C"/>
    <w:rsid w:val="25134332"/>
    <w:rsid w:val="25141A5B"/>
    <w:rsid w:val="2521546A"/>
    <w:rsid w:val="252242ED"/>
    <w:rsid w:val="252655F0"/>
    <w:rsid w:val="252A2BA6"/>
    <w:rsid w:val="252B49E0"/>
    <w:rsid w:val="252D3CC1"/>
    <w:rsid w:val="254A35DD"/>
    <w:rsid w:val="255D45FE"/>
    <w:rsid w:val="25604FD7"/>
    <w:rsid w:val="25657E8F"/>
    <w:rsid w:val="256658A2"/>
    <w:rsid w:val="25691F8B"/>
    <w:rsid w:val="256C13EF"/>
    <w:rsid w:val="256E76DE"/>
    <w:rsid w:val="25733F7D"/>
    <w:rsid w:val="25734B61"/>
    <w:rsid w:val="257632D6"/>
    <w:rsid w:val="25855673"/>
    <w:rsid w:val="258F6BC4"/>
    <w:rsid w:val="2597510C"/>
    <w:rsid w:val="25975923"/>
    <w:rsid w:val="259A3D0A"/>
    <w:rsid w:val="25A95F3E"/>
    <w:rsid w:val="25AB575C"/>
    <w:rsid w:val="25BD12A6"/>
    <w:rsid w:val="25BF0CF9"/>
    <w:rsid w:val="25BF6041"/>
    <w:rsid w:val="25C35718"/>
    <w:rsid w:val="25C61D8C"/>
    <w:rsid w:val="25CF0252"/>
    <w:rsid w:val="25D0248E"/>
    <w:rsid w:val="25D61C5C"/>
    <w:rsid w:val="25D85C48"/>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6C1436"/>
    <w:rsid w:val="267550B9"/>
    <w:rsid w:val="26996DAE"/>
    <w:rsid w:val="26B523D9"/>
    <w:rsid w:val="26BE1846"/>
    <w:rsid w:val="26C472EC"/>
    <w:rsid w:val="26E51F4F"/>
    <w:rsid w:val="26E83216"/>
    <w:rsid w:val="26EC491A"/>
    <w:rsid w:val="26ED73E1"/>
    <w:rsid w:val="26F503CD"/>
    <w:rsid w:val="27036506"/>
    <w:rsid w:val="27047832"/>
    <w:rsid w:val="2706037D"/>
    <w:rsid w:val="27077793"/>
    <w:rsid w:val="270D152E"/>
    <w:rsid w:val="271436A9"/>
    <w:rsid w:val="271D0EB4"/>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54AD0"/>
    <w:rsid w:val="27E66B1C"/>
    <w:rsid w:val="27E864CC"/>
    <w:rsid w:val="27EC25E3"/>
    <w:rsid w:val="27ED0939"/>
    <w:rsid w:val="27F1498B"/>
    <w:rsid w:val="27F80CA0"/>
    <w:rsid w:val="28021134"/>
    <w:rsid w:val="2802750E"/>
    <w:rsid w:val="28027A71"/>
    <w:rsid w:val="281D5376"/>
    <w:rsid w:val="281F4F67"/>
    <w:rsid w:val="282857E6"/>
    <w:rsid w:val="28325770"/>
    <w:rsid w:val="283744B4"/>
    <w:rsid w:val="283E7768"/>
    <w:rsid w:val="28485D62"/>
    <w:rsid w:val="28517107"/>
    <w:rsid w:val="28524ABE"/>
    <w:rsid w:val="285560D7"/>
    <w:rsid w:val="286C77D1"/>
    <w:rsid w:val="286D03C2"/>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077BAF"/>
    <w:rsid w:val="292120C3"/>
    <w:rsid w:val="294E766A"/>
    <w:rsid w:val="2952590A"/>
    <w:rsid w:val="295545AF"/>
    <w:rsid w:val="29623F1E"/>
    <w:rsid w:val="297161D3"/>
    <w:rsid w:val="2978319A"/>
    <w:rsid w:val="29886D49"/>
    <w:rsid w:val="29897A2F"/>
    <w:rsid w:val="29954C89"/>
    <w:rsid w:val="29A015B3"/>
    <w:rsid w:val="29A02DFF"/>
    <w:rsid w:val="29A3014B"/>
    <w:rsid w:val="29A74CBD"/>
    <w:rsid w:val="29A80BF5"/>
    <w:rsid w:val="29B01C34"/>
    <w:rsid w:val="29B16357"/>
    <w:rsid w:val="29B1716B"/>
    <w:rsid w:val="29BA0D88"/>
    <w:rsid w:val="29BB3E72"/>
    <w:rsid w:val="29CF32B2"/>
    <w:rsid w:val="29DE15A2"/>
    <w:rsid w:val="29E0500B"/>
    <w:rsid w:val="29E56462"/>
    <w:rsid w:val="29EC475A"/>
    <w:rsid w:val="29EF3680"/>
    <w:rsid w:val="29EF424E"/>
    <w:rsid w:val="29F35970"/>
    <w:rsid w:val="29F42745"/>
    <w:rsid w:val="29FA7F26"/>
    <w:rsid w:val="2A0B7871"/>
    <w:rsid w:val="2A166823"/>
    <w:rsid w:val="2A35650F"/>
    <w:rsid w:val="2A405845"/>
    <w:rsid w:val="2A4562D4"/>
    <w:rsid w:val="2A4D593F"/>
    <w:rsid w:val="2A575627"/>
    <w:rsid w:val="2A6C2D77"/>
    <w:rsid w:val="2A6E31F8"/>
    <w:rsid w:val="2A7270B7"/>
    <w:rsid w:val="2A824349"/>
    <w:rsid w:val="2A82713D"/>
    <w:rsid w:val="2A87174E"/>
    <w:rsid w:val="2A8A2F9C"/>
    <w:rsid w:val="2AA45D17"/>
    <w:rsid w:val="2AAB3B94"/>
    <w:rsid w:val="2AAC5A06"/>
    <w:rsid w:val="2AB22DE3"/>
    <w:rsid w:val="2AB369FC"/>
    <w:rsid w:val="2AB775FB"/>
    <w:rsid w:val="2ABB3D6F"/>
    <w:rsid w:val="2AC318D9"/>
    <w:rsid w:val="2AC70B30"/>
    <w:rsid w:val="2ACC2AAF"/>
    <w:rsid w:val="2ACD46FA"/>
    <w:rsid w:val="2ACD717C"/>
    <w:rsid w:val="2AD74744"/>
    <w:rsid w:val="2AD91AC2"/>
    <w:rsid w:val="2AE23BB4"/>
    <w:rsid w:val="2AE57C95"/>
    <w:rsid w:val="2AE97E06"/>
    <w:rsid w:val="2AF34B3D"/>
    <w:rsid w:val="2AF35C8B"/>
    <w:rsid w:val="2B055F4D"/>
    <w:rsid w:val="2B0C0EEE"/>
    <w:rsid w:val="2B112D02"/>
    <w:rsid w:val="2B132265"/>
    <w:rsid w:val="2B214776"/>
    <w:rsid w:val="2B2843BE"/>
    <w:rsid w:val="2B2A789A"/>
    <w:rsid w:val="2B313FC1"/>
    <w:rsid w:val="2B347C14"/>
    <w:rsid w:val="2B39348E"/>
    <w:rsid w:val="2B3C602B"/>
    <w:rsid w:val="2B437285"/>
    <w:rsid w:val="2B494377"/>
    <w:rsid w:val="2B4D695C"/>
    <w:rsid w:val="2B514803"/>
    <w:rsid w:val="2B5E6C2A"/>
    <w:rsid w:val="2B637D4B"/>
    <w:rsid w:val="2B6B1684"/>
    <w:rsid w:val="2B7B70BF"/>
    <w:rsid w:val="2B853AF3"/>
    <w:rsid w:val="2B8B422C"/>
    <w:rsid w:val="2B950A36"/>
    <w:rsid w:val="2BA07D38"/>
    <w:rsid w:val="2BB76C46"/>
    <w:rsid w:val="2BC40957"/>
    <w:rsid w:val="2BCA5C66"/>
    <w:rsid w:val="2BCB5DAA"/>
    <w:rsid w:val="2BD65380"/>
    <w:rsid w:val="2BD86372"/>
    <w:rsid w:val="2BDA39FD"/>
    <w:rsid w:val="2BE725D0"/>
    <w:rsid w:val="2BEF631E"/>
    <w:rsid w:val="2BF369B9"/>
    <w:rsid w:val="2BFC0A4A"/>
    <w:rsid w:val="2C094904"/>
    <w:rsid w:val="2C0E55A1"/>
    <w:rsid w:val="2C14030B"/>
    <w:rsid w:val="2C311447"/>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85E71"/>
    <w:rsid w:val="2CBE6567"/>
    <w:rsid w:val="2CC624D9"/>
    <w:rsid w:val="2CCB6E18"/>
    <w:rsid w:val="2CCC2BFE"/>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6D7E98"/>
    <w:rsid w:val="2D8A3FA2"/>
    <w:rsid w:val="2D9767DC"/>
    <w:rsid w:val="2D980DDC"/>
    <w:rsid w:val="2D987372"/>
    <w:rsid w:val="2DA23689"/>
    <w:rsid w:val="2DBC2A76"/>
    <w:rsid w:val="2DC1784E"/>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200"/>
    <w:rsid w:val="2E797A78"/>
    <w:rsid w:val="2E7A5F31"/>
    <w:rsid w:val="2E7C6A94"/>
    <w:rsid w:val="2E8321A5"/>
    <w:rsid w:val="2E8475EF"/>
    <w:rsid w:val="2E8D14A8"/>
    <w:rsid w:val="2E95430E"/>
    <w:rsid w:val="2E9A2060"/>
    <w:rsid w:val="2E9F6D95"/>
    <w:rsid w:val="2EAE350B"/>
    <w:rsid w:val="2EB20A6C"/>
    <w:rsid w:val="2EB540B0"/>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AE0E14"/>
    <w:rsid w:val="2FC86676"/>
    <w:rsid w:val="2FCA3CBE"/>
    <w:rsid w:val="2FD17A1B"/>
    <w:rsid w:val="2FD71CA4"/>
    <w:rsid w:val="2FDC432A"/>
    <w:rsid w:val="2FDC4A8D"/>
    <w:rsid w:val="2FDD73CC"/>
    <w:rsid w:val="2FE27109"/>
    <w:rsid w:val="2FEA743A"/>
    <w:rsid w:val="2FF24D11"/>
    <w:rsid w:val="2FF93066"/>
    <w:rsid w:val="300D6E98"/>
    <w:rsid w:val="30114224"/>
    <w:rsid w:val="301742B2"/>
    <w:rsid w:val="301A1509"/>
    <w:rsid w:val="301A71CE"/>
    <w:rsid w:val="301D63DD"/>
    <w:rsid w:val="301E049B"/>
    <w:rsid w:val="302635F2"/>
    <w:rsid w:val="302A4BE6"/>
    <w:rsid w:val="3030635F"/>
    <w:rsid w:val="304478EC"/>
    <w:rsid w:val="304F4511"/>
    <w:rsid w:val="30515C8E"/>
    <w:rsid w:val="305823FF"/>
    <w:rsid w:val="30830761"/>
    <w:rsid w:val="30926F91"/>
    <w:rsid w:val="30962F3E"/>
    <w:rsid w:val="30A13F14"/>
    <w:rsid w:val="30A85733"/>
    <w:rsid w:val="30AA2585"/>
    <w:rsid w:val="30B07269"/>
    <w:rsid w:val="30C16A19"/>
    <w:rsid w:val="30C262B6"/>
    <w:rsid w:val="30CB5800"/>
    <w:rsid w:val="30D32236"/>
    <w:rsid w:val="30DB6CFA"/>
    <w:rsid w:val="30E43E12"/>
    <w:rsid w:val="30E53B71"/>
    <w:rsid w:val="30E8513F"/>
    <w:rsid w:val="30FA7530"/>
    <w:rsid w:val="30FF2795"/>
    <w:rsid w:val="31015E30"/>
    <w:rsid w:val="310375CD"/>
    <w:rsid w:val="310721DA"/>
    <w:rsid w:val="310854C5"/>
    <w:rsid w:val="310D44C6"/>
    <w:rsid w:val="310E6387"/>
    <w:rsid w:val="311611B3"/>
    <w:rsid w:val="31180F58"/>
    <w:rsid w:val="311F6A53"/>
    <w:rsid w:val="31262BAF"/>
    <w:rsid w:val="313C313D"/>
    <w:rsid w:val="313F6DC6"/>
    <w:rsid w:val="314E236F"/>
    <w:rsid w:val="315C5815"/>
    <w:rsid w:val="315E0B07"/>
    <w:rsid w:val="31621F46"/>
    <w:rsid w:val="316A723C"/>
    <w:rsid w:val="316E7CA0"/>
    <w:rsid w:val="317206BF"/>
    <w:rsid w:val="317932EA"/>
    <w:rsid w:val="317938E9"/>
    <w:rsid w:val="317E5000"/>
    <w:rsid w:val="31870868"/>
    <w:rsid w:val="31875BB4"/>
    <w:rsid w:val="319B3F06"/>
    <w:rsid w:val="31A9328B"/>
    <w:rsid w:val="31AD09F7"/>
    <w:rsid w:val="31B718F2"/>
    <w:rsid w:val="31C57B88"/>
    <w:rsid w:val="31D20051"/>
    <w:rsid w:val="31DC626C"/>
    <w:rsid w:val="31DD72AA"/>
    <w:rsid w:val="31E745D2"/>
    <w:rsid w:val="31EF7EE8"/>
    <w:rsid w:val="31F003BB"/>
    <w:rsid w:val="3201404F"/>
    <w:rsid w:val="320901F5"/>
    <w:rsid w:val="320B7CCB"/>
    <w:rsid w:val="32105DE8"/>
    <w:rsid w:val="32286907"/>
    <w:rsid w:val="322E2721"/>
    <w:rsid w:val="3235187E"/>
    <w:rsid w:val="3237186B"/>
    <w:rsid w:val="323B6798"/>
    <w:rsid w:val="32463C48"/>
    <w:rsid w:val="32537B57"/>
    <w:rsid w:val="32573090"/>
    <w:rsid w:val="325779E7"/>
    <w:rsid w:val="325F618E"/>
    <w:rsid w:val="326C6597"/>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A062A"/>
    <w:rsid w:val="337D34FB"/>
    <w:rsid w:val="337E2DAF"/>
    <w:rsid w:val="337E3331"/>
    <w:rsid w:val="339C6DF8"/>
    <w:rsid w:val="33A47053"/>
    <w:rsid w:val="33AD5111"/>
    <w:rsid w:val="33BF4199"/>
    <w:rsid w:val="33CD23A8"/>
    <w:rsid w:val="33CD6498"/>
    <w:rsid w:val="33D7554F"/>
    <w:rsid w:val="33D825FA"/>
    <w:rsid w:val="33DB2AB1"/>
    <w:rsid w:val="33FA40FA"/>
    <w:rsid w:val="33FE62E7"/>
    <w:rsid w:val="34014663"/>
    <w:rsid w:val="34080399"/>
    <w:rsid w:val="340D25F6"/>
    <w:rsid w:val="34161D6C"/>
    <w:rsid w:val="341E19AD"/>
    <w:rsid w:val="342763E9"/>
    <w:rsid w:val="3429226D"/>
    <w:rsid w:val="342B76C7"/>
    <w:rsid w:val="343A1527"/>
    <w:rsid w:val="3441650E"/>
    <w:rsid w:val="34447898"/>
    <w:rsid w:val="344E62FA"/>
    <w:rsid w:val="34542DE9"/>
    <w:rsid w:val="34542E46"/>
    <w:rsid w:val="346C4879"/>
    <w:rsid w:val="346D7DEA"/>
    <w:rsid w:val="3472234D"/>
    <w:rsid w:val="347D500F"/>
    <w:rsid w:val="34830157"/>
    <w:rsid w:val="34872D27"/>
    <w:rsid w:val="348A3241"/>
    <w:rsid w:val="348E58C4"/>
    <w:rsid w:val="349164BD"/>
    <w:rsid w:val="3495237E"/>
    <w:rsid w:val="3499657C"/>
    <w:rsid w:val="34A40DA8"/>
    <w:rsid w:val="34A52713"/>
    <w:rsid w:val="34BD02AE"/>
    <w:rsid w:val="34BD32A6"/>
    <w:rsid w:val="34BE1B67"/>
    <w:rsid w:val="34C20DC7"/>
    <w:rsid w:val="34C77705"/>
    <w:rsid w:val="34DA26A8"/>
    <w:rsid w:val="34DE2B9F"/>
    <w:rsid w:val="34DF0124"/>
    <w:rsid w:val="34E145D2"/>
    <w:rsid w:val="34E75EA5"/>
    <w:rsid w:val="34E960F1"/>
    <w:rsid w:val="34EE6187"/>
    <w:rsid w:val="350A65C4"/>
    <w:rsid w:val="350B42D5"/>
    <w:rsid w:val="350F6258"/>
    <w:rsid w:val="35126D01"/>
    <w:rsid w:val="35184A75"/>
    <w:rsid w:val="351977B4"/>
    <w:rsid w:val="351A603C"/>
    <w:rsid w:val="352821F6"/>
    <w:rsid w:val="35292624"/>
    <w:rsid w:val="3533698A"/>
    <w:rsid w:val="35387F19"/>
    <w:rsid w:val="3539550B"/>
    <w:rsid w:val="35413331"/>
    <w:rsid w:val="354319AA"/>
    <w:rsid w:val="354D5E0E"/>
    <w:rsid w:val="355D10E3"/>
    <w:rsid w:val="355F206B"/>
    <w:rsid w:val="356150BC"/>
    <w:rsid w:val="356678B4"/>
    <w:rsid w:val="3573649F"/>
    <w:rsid w:val="35774602"/>
    <w:rsid w:val="357E4B0A"/>
    <w:rsid w:val="35837DFD"/>
    <w:rsid w:val="35866D7F"/>
    <w:rsid w:val="358F6BDF"/>
    <w:rsid w:val="35917C0B"/>
    <w:rsid w:val="359611AB"/>
    <w:rsid w:val="359D0688"/>
    <w:rsid w:val="35A210A7"/>
    <w:rsid w:val="35A26AC9"/>
    <w:rsid w:val="35A440D7"/>
    <w:rsid w:val="35A947D6"/>
    <w:rsid w:val="35AE1117"/>
    <w:rsid w:val="35AE3DE9"/>
    <w:rsid w:val="35C06D50"/>
    <w:rsid w:val="35C92EE6"/>
    <w:rsid w:val="35CC6426"/>
    <w:rsid w:val="35CD6F14"/>
    <w:rsid w:val="35D24294"/>
    <w:rsid w:val="35D71152"/>
    <w:rsid w:val="35EC5DEC"/>
    <w:rsid w:val="35F629BD"/>
    <w:rsid w:val="35FF6F3C"/>
    <w:rsid w:val="3600359A"/>
    <w:rsid w:val="36075F27"/>
    <w:rsid w:val="36121506"/>
    <w:rsid w:val="36180A4A"/>
    <w:rsid w:val="361D7A43"/>
    <w:rsid w:val="361E658D"/>
    <w:rsid w:val="361F3323"/>
    <w:rsid w:val="362C64B5"/>
    <w:rsid w:val="363019EB"/>
    <w:rsid w:val="36326D0C"/>
    <w:rsid w:val="363835CE"/>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37903"/>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93B1D"/>
    <w:rsid w:val="373B4C89"/>
    <w:rsid w:val="37424A45"/>
    <w:rsid w:val="37503E6C"/>
    <w:rsid w:val="37560AC5"/>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56E33"/>
    <w:rsid w:val="38190834"/>
    <w:rsid w:val="381C3EB1"/>
    <w:rsid w:val="381E409C"/>
    <w:rsid w:val="382B1BDF"/>
    <w:rsid w:val="382E392C"/>
    <w:rsid w:val="38310B25"/>
    <w:rsid w:val="38325D99"/>
    <w:rsid w:val="38342E90"/>
    <w:rsid w:val="38451B7E"/>
    <w:rsid w:val="384B7332"/>
    <w:rsid w:val="384E20F8"/>
    <w:rsid w:val="385056AF"/>
    <w:rsid w:val="3851381E"/>
    <w:rsid w:val="38647460"/>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DD76CC"/>
    <w:rsid w:val="38E40A5B"/>
    <w:rsid w:val="38E51952"/>
    <w:rsid w:val="38F16A28"/>
    <w:rsid w:val="3913128B"/>
    <w:rsid w:val="391A3359"/>
    <w:rsid w:val="39285D57"/>
    <w:rsid w:val="39315D4D"/>
    <w:rsid w:val="393E40A8"/>
    <w:rsid w:val="394B6470"/>
    <w:rsid w:val="395C6EA8"/>
    <w:rsid w:val="39872512"/>
    <w:rsid w:val="39A007AA"/>
    <w:rsid w:val="39A602F9"/>
    <w:rsid w:val="39BD45C8"/>
    <w:rsid w:val="39C2316A"/>
    <w:rsid w:val="39D222B3"/>
    <w:rsid w:val="39D84654"/>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4F3B4E"/>
    <w:rsid w:val="3B552653"/>
    <w:rsid w:val="3B5A2A22"/>
    <w:rsid w:val="3B5B5607"/>
    <w:rsid w:val="3B6B4F3A"/>
    <w:rsid w:val="3B707794"/>
    <w:rsid w:val="3B7804A3"/>
    <w:rsid w:val="3B8E2153"/>
    <w:rsid w:val="3B9B2072"/>
    <w:rsid w:val="3BA03B83"/>
    <w:rsid w:val="3BA551AF"/>
    <w:rsid w:val="3BA91F03"/>
    <w:rsid w:val="3BB16FA6"/>
    <w:rsid w:val="3BB17CE6"/>
    <w:rsid w:val="3BB20883"/>
    <w:rsid w:val="3BB448B0"/>
    <w:rsid w:val="3BBB2151"/>
    <w:rsid w:val="3BC34E75"/>
    <w:rsid w:val="3BCB270F"/>
    <w:rsid w:val="3BD569C2"/>
    <w:rsid w:val="3BD96AA6"/>
    <w:rsid w:val="3BDB053C"/>
    <w:rsid w:val="3BE4466B"/>
    <w:rsid w:val="3BED002E"/>
    <w:rsid w:val="3BF64842"/>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6F06BD"/>
    <w:rsid w:val="3C712E5F"/>
    <w:rsid w:val="3C734413"/>
    <w:rsid w:val="3C764842"/>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4209E"/>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104CE"/>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8720F"/>
    <w:rsid w:val="3E1328D6"/>
    <w:rsid w:val="3E1B7668"/>
    <w:rsid w:val="3E1C6544"/>
    <w:rsid w:val="3E1D4B24"/>
    <w:rsid w:val="3E2A7B0A"/>
    <w:rsid w:val="3E314520"/>
    <w:rsid w:val="3E3A04FA"/>
    <w:rsid w:val="3E3D6B96"/>
    <w:rsid w:val="3E3F202E"/>
    <w:rsid w:val="3E441C7D"/>
    <w:rsid w:val="3E490256"/>
    <w:rsid w:val="3E4C16BD"/>
    <w:rsid w:val="3E4C2EC5"/>
    <w:rsid w:val="3E55739E"/>
    <w:rsid w:val="3E68075C"/>
    <w:rsid w:val="3E6C43C8"/>
    <w:rsid w:val="3E6E6161"/>
    <w:rsid w:val="3E8227F0"/>
    <w:rsid w:val="3E937F82"/>
    <w:rsid w:val="3E9B4B40"/>
    <w:rsid w:val="3EB71AC8"/>
    <w:rsid w:val="3EC14CA0"/>
    <w:rsid w:val="3EC85E34"/>
    <w:rsid w:val="3ECF2AAC"/>
    <w:rsid w:val="3ED0424C"/>
    <w:rsid w:val="3ED07B7E"/>
    <w:rsid w:val="3EDC2C5B"/>
    <w:rsid w:val="3EF31E7F"/>
    <w:rsid w:val="3EF36DF0"/>
    <w:rsid w:val="3EFC77FE"/>
    <w:rsid w:val="3F003339"/>
    <w:rsid w:val="3F035EE1"/>
    <w:rsid w:val="3F053EF6"/>
    <w:rsid w:val="3F093188"/>
    <w:rsid w:val="3F0C1E13"/>
    <w:rsid w:val="3F173F6B"/>
    <w:rsid w:val="3F1A20DE"/>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A93586"/>
    <w:rsid w:val="3FB45C58"/>
    <w:rsid w:val="3FBA1D11"/>
    <w:rsid w:val="3FC36557"/>
    <w:rsid w:val="3FC956FF"/>
    <w:rsid w:val="3FCE78E2"/>
    <w:rsid w:val="3FD13F50"/>
    <w:rsid w:val="3FDC5F31"/>
    <w:rsid w:val="3FE04625"/>
    <w:rsid w:val="3FE86CE8"/>
    <w:rsid w:val="3FEF3DCD"/>
    <w:rsid w:val="3FF148F7"/>
    <w:rsid w:val="3FF30E80"/>
    <w:rsid w:val="3FFB0F66"/>
    <w:rsid w:val="40022F93"/>
    <w:rsid w:val="400E6DDA"/>
    <w:rsid w:val="40146E6B"/>
    <w:rsid w:val="40225B50"/>
    <w:rsid w:val="402F649F"/>
    <w:rsid w:val="403052F1"/>
    <w:rsid w:val="40330D29"/>
    <w:rsid w:val="403B277F"/>
    <w:rsid w:val="404469FD"/>
    <w:rsid w:val="404A2717"/>
    <w:rsid w:val="404E779F"/>
    <w:rsid w:val="4059090D"/>
    <w:rsid w:val="405E7B46"/>
    <w:rsid w:val="4065170A"/>
    <w:rsid w:val="40687776"/>
    <w:rsid w:val="406966BC"/>
    <w:rsid w:val="406C4DFB"/>
    <w:rsid w:val="406D2BCF"/>
    <w:rsid w:val="406E5CAB"/>
    <w:rsid w:val="40713C35"/>
    <w:rsid w:val="40823B87"/>
    <w:rsid w:val="408355D6"/>
    <w:rsid w:val="408376F8"/>
    <w:rsid w:val="408C04D2"/>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1C49CD"/>
    <w:rsid w:val="41325883"/>
    <w:rsid w:val="413353F1"/>
    <w:rsid w:val="41372918"/>
    <w:rsid w:val="41464224"/>
    <w:rsid w:val="414C0B0E"/>
    <w:rsid w:val="41513BC9"/>
    <w:rsid w:val="41713236"/>
    <w:rsid w:val="41735B7F"/>
    <w:rsid w:val="419302E2"/>
    <w:rsid w:val="419C5FD8"/>
    <w:rsid w:val="419E558F"/>
    <w:rsid w:val="419E60D3"/>
    <w:rsid w:val="41A25332"/>
    <w:rsid w:val="41A339F5"/>
    <w:rsid w:val="41A36C7E"/>
    <w:rsid w:val="41A55EEC"/>
    <w:rsid w:val="41AA4A84"/>
    <w:rsid w:val="41AF06D0"/>
    <w:rsid w:val="41C45B38"/>
    <w:rsid w:val="41C93F6C"/>
    <w:rsid w:val="41D5139D"/>
    <w:rsid w:val="41D75714"/>
    <w:rsid w:val="41DD3BC3"/>
    <w:rsid w:val="41E535F4"/>
    <w:rsid w:val="41EE2F03"/>
    <w:rsid w:val="41F466FD"/>
    <w:rsid w:val="41FF4213"/>
    <w:rsid w:val="42002BC7"/>
    <w:rsid w:val="42026B03"/>
    <w:rsid w:val="420C60D5"/>
    <w:rsid w:val="420D197F"/>
    <w:rsid w:val="42130DE5"/>
    <w:rsid w:val="42187EBE"/>
    <w:rsid w:val="42201DD7"/>
    <w:rsid w:val="42240D3F"/>
    <w:rsid w:val="42273D8C"/>
    <w:rsid w:val="4227435A"/>
    <w:rsid w:val="42300D9C"/>
    <w:rsid w:val="423A3582"/>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92A2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03D58"/>
    <w:rsid w:val="436263D5"/>
    <w:rsid w:val="437556C4"/>
    <w:rsid w:val="43874CD4"/>
    <w:rsid w:val="43874FE8"/>
    <w:rsid w:val="439B699F"/>
    <w:rsid w:val="439D3E18"/>
    <w:rsid w:val="439E6C2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200B3"/>
    <w:rsid w:val="45934E4A"/>
    <w:rsid w:val="459405E3"/>
    <w:rsid w:val="459C5A47"/>
    <w:rsid w:val="45A82F38"/>
    <w:rsid w:val="45B047D1"/>
    <w:rsid w:val="45B77545"/>
    <w:rsid w:val="45BE6191"/>
    <w:rsid w:val="45BE648C"/>
    <w:rsid w:val="45C37EBA"/>
    <w:rsid w:val="45C661BC"/>
    <w:rsid w:val="45CA082F"/>
    <w:rsid w:val="45CD2126"/>
    <w:rsid w:val="45CF358A"/>
    <w:rsid w:val="45DD738A"/>
    <w:rsid w:val="45E372CD"/>
    <w:rsid w:val="45FB2D6A"/>
    <w:rsid w:val="460851C4"/>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26C7C"/>
    <w:rsid w:val="46E53335"/>
    <w:rsid w:val="46E544E3"/>
    <w:rsid w:val="46E87DBA"/>
    <w:rsid w:val="46EE15F6"/>
    <w:rsid w:val="46EE2CC7"/>
    <w:rsid w:val="46F11440"/>
    <w:rsid w:val="46FA7468"/>
    <w:rsid w:val="470F7B86"/>
    <w:rsid w:val="47155D89"/>
    <w:rsid w:val="473069AF"/>
    <w:rsid w:val="47356ECD"/>
    <w:rsid w:val="47484E32"/>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81496"/>
    <w:rsid w:val="484B14EC"/>
    <w:rsid w:val="48602710"/>
    <w:rsid w:val="48713351"/>
    <w:rsid w:val="48725C43"/>
    <w:rsid w:val="48802846"/>
    <w:rsid w:val="488260F9"/>
    <w:rsid w:val="48850157"/>
    <w:rsid w:val="489E7DA3"/>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4D071A"/>
    <w:rsid w:val="4A5A756D"/>
    <w:rsid w:val="4A722B4C"/>
    <w:rsid w:val="4A785772"/>
    <w:rsid w:val="4A7A7433"/>
    <w:rsid w:val="4A842C6F"/>
    <w:rsid w:val="4A842E43"/>
    <w:rsid w:val="4A886D1D"/>
    <w:rsid w:val="4A89105B"/>
    <w:rsid w:val="4A912BF7"/>
    <w:rsid w:val="4A955EEB"/>
    <w:rsid w:val="4A992D53"/>
    <w:rsid w:val="4AA341CC"/>
    <w:rsid w:val="4AA46948"/>
    <w:rsid w:val="4AAD4AA9"/>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1F41F9"/>
    <w:rsid w:val="4B250CF8"/>
    <w:rsid w:val="4B2873FD"/>
    <w:rsid w:val="4B3D4DE9"/>
    <w:rsid w:val="4B59618C"/>
    <w:rsid w:val="4B5B2C7E"/>
    <w:rsid w:val="4B6A74A5"/>
    <w:rsid w:val="4B6D6F07"/>
    <w:rsid w:val="4B6F1D56"/>
    <w:rsid w:val="4B7C2965"/>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0F63B5"/>
    <w:rsid w:val="4C172533"/>
    <w:rsid w:val="4C1905D9"/>
    <w:rsid w:val="4C1913B4"/>
    <w:rsid w:val="4C1A01C1"/>
    <w:rsid w:val="4C2910DF"/>
    <w:rsid w:val="4C2B4DDD"/>
    <w:rsid w:val="4C312198"/>
    <w:rsid w:val="4C336177"/>
    <w:rsid w:val="4C471A55"/>
    <w:rsid w:val="4C4E51AF"/>
    <w:rsid w:val="4C53456F"/>
    <w:rsid w:val="4C562920"/>
    <w:rsid w:val="4C5D1F92"/>
    <w:rsid w:val="4C603F16"/>
    <w:rsid w:val="4C6262E0"/>
    <w:rsid w:val="4C6703A3"/>
    <w:rsid w:val="4C6D7518"/>
    <w:rsid w:val="4C704A5C"/>
    <w:rsid w:val="4C8C1682"/>
    <w:rsid w:val="4C923A72"/>
    <w:rsid w:val="4CA24568"/>
    <w:rsid w:val="4CAB3057"/>
    <w:rsid w:val="4CB531CC"/>
    <w:rsid w:val="4CB80C32"/>
    <w:rsid w:val="4CB96B0F"/>
    <w:rsid w:val="4CBD582C"/>
    <w:rsid w:val="4CC21369"/>
    <w:rsid w:val="4CD1735E"/>
    <w:rsid w:val="4CE34E9F"/>
    <w:rsid w:val="4CF52D94"/>
    <w:rsid w:val="4D075911"/>
    <w:rsid w:val="4D0C6B0F"/>
    <w:rsid w:val="4D116682"/>
    <w:rsid w:val="4D1216BD"/>
    <w:rsid w:val="4D231A3E"/>
    <w:rsid w:val="4D2822A5"/>
    <w:rsid w:val="4D332156"/>
    <w:rsid w:val="4D3C254D"/>
    <w:rsid w:val="4D4001E4"/>
    <w:rsid w:val="4D462159"/>
    <w:rsid w:val="4D47409F"/>
    <w:rsid w:val="4D525BE3"/>
    <w:rsid w:val="4D566017"/>
    <w:rsid w:val="4D6022FC"/>
    <w:rsid w:val="4D6748C7"/>
    <w:rsid w:val="4D7D3EFB"/>
    <w:rsid w:val="4D883EF9"/>
    <w:rsid w:val="4D8B0123"/>
    <w:rsid w:val="4D907392"/>
    <w:rsid w:val="4D940DD6"/>
    <w:rsid w:val="4D9965A1"/>
    <w:rsid w:val="4DAF14C5"/>
    <w:rsid w:val="4DB9067A"/>
    <w:rsid w:val="4DC605B6"/>
    <w:rsid w:val="4DD732D2"/>
    <w:rsid w:val="4DEC0985"/>
    <w:rsid w:val="4E000105"/>
    <w:rsid w:val="4E0538A3"/>
    <w:rsid w:val="4E0E6818"/>
    <w:rsid w:val="4E27683A"/>
    <w:rsid w:val="4E300289"/>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60940"/>
    <w:rsid w:val="4EDB58B2"/>
    <w:rsid w:val="4EE925CE"/>
    <w:rsid w:val="4EEB1A94"/>
    <w:rsid w:val="4EEF2E30"/>
    <w:rsid w:val="4EF24828"/>
    <w:rsid w:val="4EFE7F59"/>
    <w:rsid w:val="4F0557AF"/>
    <w:rsid w:val="4F285975"/>
    <w:rsid w:val="4F2A1A96"/>
    <w:rsid w:val="4F2A7BF3"/>
    <w:rsid w:val="4F2E2624"/>
    <w:rsid w:val="4F3032F3"/>
    <w:rsid w:val="4F4E1077"/>
    <w:rsid w:val="4F546156"/>
    <w:rsid w:val="4F5B6F39"/>
    <w:rsid w:val="4F621F24"/>
    <w:rsid w:val="4F64780B"/>
    <w:rsid w:val="4F6C6998"/>
    <w:rsid w:val="4F727FD6"/>
    <w:rsid w:val="4F836EB9"/>
    <w:rsid w:val="4F844A99"/>
    <w:rsid w:val="4F94662C"/>
    <w:rsid w:val="4FAB774E"/>
    <w:rsid w:val="4FB00163"/>
    <w:rsid w:val="4FB208E7"/>
    <w:rsid w:val="4FE30332"/>
    <w:rsid w:val="4FE70BB4"/>
    <w:rsid w:val="4FE73C01"/>
    <w:rsid w:val="4FE76D51"/>
    <w:rsid w:val="4FE87C31"/>
    <w:rsid w:val="4FF03F98"/>
    <w:rsid w:val="4FF14DCF"/>
    <w:rsid w:val="4FF62B3F"/>
    <w:rsid w:val="50062DD9"/>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5A7DB4"/>
    <w:rsid w:val="50601A5C"/>
    <w:rsid w:val="50675605"/>
    <w:rsid w:val="507055F2"/>
    <w:rsid w:val="507C5431"/>
    <w:rsid w:val="507E1B25"/>
    <w:rsid w:val="508E3B94"/>
    <w:rsid w:val="508E4492"/>
    <w:rsid w:val="5090223F"/>
    <w:rsid w:val="50924591"/>
    <w:rsid w:val="50943125"/>
    <w:rsid w:val="50A2548C"/>
    <w:rsid w:val="50A578DE"/>
    <w:rsid w:val="50A649F5"/>
    <w:rsid w:val="50AB5EB6"/>
    <w:rsid w:val="50AD494C"/>
    <w:rsid w:val="50AE6FE2"/>
    <w:rsid w:val="50B16618"/>
    <w:rsid w:val="50BB6306"/>
    <w:rsid w:val="50BF5E9F"/>
    <w:rsid w:val="50C12EDC"/>
    <w:rsid w:val="50C471FF"/>
    <w:rsid w:val="50CD2E4B"/>
    <w:rsid w:val="50D8533B"/>
    <w:rsid w:val="50DA0A9E"/>
    <w:rsid w:val="50ED21B8"/>
    <w:rsid w:val="50F31CB9"/>
    <w:rsid w:val="50F66F3D"/>
    <w:rsid w:val="50F8688B"/>
    <w:rsid w:val="50FA27BD"/>
    <w:rsid w:val="50FA629D"/>
    <w:rsid w:val="50FB1A8B"/>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C2E9E"/>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5F6F15"/>
    <w:rsid w:val="52687B2A"/>
    <w:rsid w:val="526D58FF"/>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75E3C"/>
    <w:rsid w:val="532F77EA"/>
    <w:rsid w:val="53367575"/>
    <w:rsid w:val="533933AA"/>
    <w:rsid w:val="533B7F54"/>
    <w:rsid w:val="533D2D66"/>
    <w:rsid w:val="535009E1"/>
    <w:rsid w:val="53622480"/>
    <w:rsid w:val="53650168"/>
    <w:rsid w:val="53651B48"/>
    <w:rsid w:val="53665DA9"/>
    <w:rsid w:val="536C2A29"/>
    <w:rsid w:val="536E571F"/>
    <w:rsid w:val="538859E4"/>
    <w:rsid w:val="538E3092"/>
    <w:rsid w:val="53902F6B"/>
    <w:rsid w:val="53917F72"/>
    <w:rsid w:val="539F394B"/>
    <w:rsid w:val="53A20FFA"/>
    <w:rsid w:val="53A233E4"/>
    <w:rsid w:val="53A63AE8"/>
    <w:rsid w:val="53A94C48"/>
    <w:rsid w:val="53AA7BC7"/>
    <w:rsid w:val="53AE5EA5"/>
    <w:rsid w:val="53B00B1F"/>
    <w:rsid w:val="53B2409D"/>
    <w:rsid w:val="53B31E73"/>
    <w:rsid w:val="53BD0731"/>
    <w:rsid w:val="53BF4252"/>
    <w:rsid w:val="53C950CA"/>
    <w:rsid w:val="53D5647F"/>
    <w:rsid w:val="53D6247A"/>
    <w:rsid w:val="53DB3477"/>
    <w:rsid w:val="53DE00FF"/>
    <w:rsid w:val="53E656AF"/>
    <w:rsid w:val="53E77CBF"/>
    <w:rsid w:val="53FE7128"/>
    <w:rsid w:val="54201800"/>
    <w:rsid w:val="54247F22"/>
    <w:rsid w:val="5427150F"/>
    <w:rsid w:val="542B1B24"/>
    <w:rsid w:val="542B76D0"/>
    <w:rsid w:val="542C10EE"/>
    <w:rsid w:val="542C29CD"/>
    <w:rsid w:val="542F1551"/>
    <w:rsid w:val="54381756"/>
    <w:rsid w:val="545750B7"/>
    <w:rsid w:val="545A1EBF"/>
    <w:rsid w:val="545E39AA"/>
    <w:rsid w:val="54602EAD"/>
    <w:rsid w:val="5460437B"/>
    <w:rsid w:val="54727478"/>
    <w:rsid w:val="5475359D"/>
    <w:rsid w:val="548A51DF"/>
    <w:rsid w:val="54B06F11"/>
    <w:rsid w:val="54B56DF4"/>
    <w:rsid w:val="54B93943"/>
    <w:rsid w:val="54BE5578"/>
    <w:rsid w:val="54BF52B5"/>
    <w:rsid w:val="54D202CA"/>
    <w:rsid w:val="54D54E59"/>
    <w:rsid w:val="54D816FE"/>
    <w:rsid w:val="54DD41DB"/>
    <w:rsid w:val="54DE6BB8"/>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84466"/>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C022B"/>
    <w:rsid w:val="560D5F48"/>
    <w:rsid w:val="56106284"/>
    <w:rsid w:val="56182852"/>
    <w:rsid w:val="5632642A"/>
    <w:rsid w:val="56375B61"/>
    <w:rsid w:val="56417390"/>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0F5CCD"/>
    <w:rsid w:val="5716320B"/>
    <w:rsid w:val="572657E3"/>
    <w:rsid w:val="5732705F"/>
    <w:rsid w:val="57351D6F"/>
    <w:rsid w:val="573B7F99"/>
    <w:rsid w:val="57422DC7"/>
    <w:rsid w:val="576476C1"/>
    <w:rsid w:val="576E1940"/>
    <w:rsid w:val="57756BF9"/>
    <w:rsid w:val="57770501"/>
    <w:rsid w:val="577B3337"/>
    <w:rsid w:val="577D4F28"/>
    <w:rsid w:val="578B1816"/>
    <w:rsid w:val="57A33734"/>
    <w:rsid w:val="57A53B57"/>
    <w:rsid w:val="57AB6ADD"/>
    <w:rsid w:val="57B7178E"/>
    <w:rsid w:val="57B76EED"/>
    <w:rsid w:val="57BD72A7"/>
    <w:rsid w:val="57BE5838"/>
    <w:rsid w:val="57BF764E"/>
    <w:rsid w:val="57C13144"/>
    <w:rsid w:val="57C4347C"/>
    <w:rsid w:val="57CB35DF"/>
    <w:rsid w:val="57D82354"/>
    <w:rsid w:val="57FC0156"/>
    <w:rsid w:val="57FC07D9"/>
    <w:rsid w:val="57FF6992"/>
    <w:rsid w:val="58036FF1"/>
    <w:rsid w:val="580F1B21"/>
    <w:rsid w:val="581B7E79"/>
    <w:rsid w:val="5837438C"/>
    <w:rsid w:val="58420FA1"/>
    <w:rsid w:val="584F342A"/>
    <w:rsid w:val="58500F22"/>
    <w:rsid w:val="58587379"/>
    <w:rsid w:val="585D72B5"/>
    <w:rsid w:val="586D57A3"/>
    <w:rsid w:val="587917A0"/>
    <w:rsid w:val="587A4288"/>
    <w:rsid w:val="5880052B"/>
    <w:rsid w:val="588C2720"/>
    <w:rsid w:val="588E3967"/>
    <w:rsid w:val="589E7444"/>
    <w:rsid w:val="58AD27D9"/>
    <w:rsid w:val="58B169A2"/>
    <w:rsid w:val="58B9636C"/>
    <w:rsid w:val="58C219AE"/>
    <w:rsid w:val="58C37133"/>
    <w:rsid w:val="58C86B9E"/>
    <w:rsid w:val="58C93046"/>
    <w:rsid w:val="58C952C6"/>
    <w:rsid w:val="58D36BCB"/>
    <w:rsid w:val="58D42880"/>
    <w:rsid w:val="58D8157C"/>
    <w:rsid w:val="58E11166"/>
    <w:rsid w:val="58E6349C"/>
    <w:rsid w:val="58E83DEC"/>
    <w:rsid w:val="58EF63EE"/>
    <w:rsid w:val="590317F0"/>
    <w:rsid w:val="59075000"/>
    <w:rsid w:val="592544CF"/>
    <w:rsid w:val="592611AD"/>
    <w:rsid w:val="593559FD"/>
    <w:rsid w:val="593A4D15"/>
    <w:rsid w:val="594079B2"/>
    <w:rsid w:val="595B45EE"/>
    <w:rsid w:val="595C4A81"/>
    <w:rsid w:val="596A688E"/>
    <w:rsid w:val="596E7229"/>
    <w:rsid w:val="5972466D"/>
    <w:rsid w:val="59860400"/>
    <w:rsid w:val="5987482A"/>
    <w:rsid w:val="59897DE4"/>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2580A"/>
    <w:rsid w:val="5AA75D85"/>
    <w:rsid w:val="5AB7299D"/>
    <w:rsid w:val="5ABC50F4"/>
    <w:rsid w:val="5ACC4940"/>
    <w:rsid w:val="5ACD3CD2"/>
    <w:rsid w:val="5AD7333E"/>
    <w:rsid w:val="5AD86A6D"/>
    <w:rsid w:val="5ADA2BF4"/>
    <w:rsid w:val="5ADF4325"/>
    <w:rsid w:val="5AE8708E"/>
    <w:rsid w:val="5AEB6283"/>
    <w:rsid w:val="5AEC14F6"/>
    <w:rsid w:val="5AF124A4"/>
    <w:rsid w:val="5B0A4D6B"/>
    <w:rsid w:val="5B141085"/>
    <w:rsid w:val="5B1C2A87"/>
    <w:rsid w:val="5B266C40"/>
    <w:rsid w:val="5B28192B"/>
    <w:rsid w:val="5B33135D"/>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825CAE"/>
    <w:rsid w:val="5B9004A9"/>
    <w:rsid w:val="5B907C6C"/>
    <w:rsid w:val="5B9251EF"/>
    <w:rsid w:val="5BAB5BC4"/>
    <w:rsid w:val="5BAC79AD"/>
    <w:rsid w:val="5BB20B74"/>
    <w:rsid w:val="5BB33170"/>
    <w:rsid w:val="5BC677D8"/>
    <w:rsid w:val="5BC857FD"/>
    <w:rsid w:val="5BD0669E"/>
    <w:rsid w:val="5BEB0120"/>
    <w:rsid w:val="5BEC175C"/>
    <w:rsid w:val="5BEF3E44"/>
    <w:rsid w:val="5BEF69FF"/>
    <w:rsid w:val="5C053E62"/>
    <w:rsid w:val="5C064BA0"/>
    <w:rsid w:val="5C07067E"/>
    <w:rsid w:val="5C075BB6"/>
    <w:rsid w:val="5C097C4E"/>
    <w:rsid w:val="5C0D06A2"/>
    <w:rsid w:val="5C1A3A93"/>
    <w:rsid w:val="5C1C3059"/>
    <w:rsid w:val="5C235386"/>
    <w:rsid w:val="5C2A4E9F"/>
    <w:rsid w:val="5C37782E"/>
    <w:rsid w:val="5C3822CC"/>
    <w:rsid w:val="5C3B6CFC"/>
    <w:rsid w:val="5C4735D5"/>
    <w:rsid w:val="5C4C2C9B"/>
    <w:rsid w:val="5C4C2CF4"/>
    <w:rsid w:val="5C5E6BCC"/>
    <w:rsid w:val="5C6B1600"/>
    <w:rsid w:val="5C6E26BF"/>
    <w:rsid w:val="5C706511"/>
    <w:rsid w:val="5C7A7F52"/>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429B7"/>
    <w:rsid w:val="5DC848B4"/>
    <w:rsid w:val="5DD14397"/>
    <w:rsid w:val="5DD3123F"/>
    <w:rsid w:val="5DD45E00"/>
    <w:rsid w:val="5DD564E5"/>
    <w:rsid w:val="5DD71C7A"/>
    <w:rsid w:val="5DD734EC"/>
    <w:rsid w:val="5DDA4F5F"/>
    <w:rsid w:val="5DDF6E6E"/>
    <w:rsid w:val="5DEC05A1"/>
    <w:rsid w:val="5DEE0433"/>
    <w:rsid w:val="5DEE2993"/>
    <w:rsid w:val="5DFD51DB"/>
    <w:rsid w:val="5E074E49"/>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85A72"/>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D3528D"/>
    <w:rsid w:val="5EE153F8"/>
    <w:rsid w:val="5EE73A31"/>
    <w:rsid w:val="5EE836CB"/>
    <w:rsid w:val="5EEA322F"/>
    <w:rsid w:val="5EED7893"/>
    <w:rsid w:val="5EF427A1"/>
    <w:rsid w:val="5EFB2125"/>
    <w:rsid w:val="5EFB6F0A"/>
    <w:rsid w:val="5F0A3A61"/>
    <w:rsid w:val="5F114A3D"/>
    <w:rsid w:val="5F3370DF"/>
    <w:rsid w:val="5F683B6E"/>
    <w:rsid w:val="5F684490"/>
    <w:rsid w:val="5F697EE8"/>
    <w:rsid w:val="5F6D06D6"/>
    <w:rsid w:val="5F6E751E"/>
    <w:rsid w:val="5F6E768C"/>
    <w:rsid w:val="5F7B7C7E"/>
    <w:rsid w:val="5F875C0C"/>
    <w:rsid w:val="5F89013A"/>
    <w:rsid w:val="5F8A0701"/>
    <w:rsid w:val="5F8F0B9E"/>
    <w:rsid w:val="5F8F267A"/>
    <w:rsid w:val="5F941274"/>
    <w:rsid w:val="5F99518A"/>
    <w:rsid w:val="5F9A540B"/>
    <w:rsid w:val="5FAB7F08"/>
    <w:rsid w:val="5FB7185B"/>
    <w:rsid w:val="5FB94C48"/>
    <w:rsid w:val="5FBE576C"/>
    <w:rsid w:val="5FD92450"/>
    <w:rsid w:val="5FDE327E"/>
    <w:rsid w:val="5FEB4E90"/>
    <w:rsid w:val="5FF37587"/>
    <w:rsid w:val="5FF85D1E"/>
    <w:rsid w:val="5FFE57B7"/>
    <w:rsid w:val="5FFF04A2"/>
    <w:rsid w:val="60060CD5"/>
    <w:rsid w:val="60085AA3"/>
    <w:rsid w:val="600E362B"/>
    <w:rsid w:val="60183392"/>
    <w:rsid w:val="601A4CB1"/>
    <w:rsid w:val="601B56CB"/>
    <w:rsid w:val="60237FFC"/>
    <w:rsid w:val="602647A9"/>
    <w:rsid w:val="602C236D"/>
    <w:rsid w:val="603114E4"/>
    <w:rsid w:val="603967D7"/>
    <w:rsid w:val="603D3325"/>
    <w:rsid w:val="604040A8"/>
    <w:rsid w:val="604233CA"/>
    <w:rsid w:val="604310A8"/>
    <w:rsid w:val="60470CE3"/>
    <w:rsid w:val="60485D19"/>
    <w:rsid w:val="604D29BA"/>
    <w:rsid w:val="605C4AD4"/>
    <w:rsid w:val="605C5019"/>
    <w:rsid w:val="606711B4"/>
    <w:rsid w:val="60673C40"/>
    <w:rsid w:val="606A52D4"/>
    <w:rsid w:val="606C5678"/>
    <w:rsid w:val="607A0897"/>
    <w:rsid w:val="607B4781"/>
    <w:rsid w:val="607C3753"/>
    <w:rsid w:val="607F6EAB"/>
    <w:rsid w:val="608D1D4E"/>
    <w:rsid w:val="60911FEF"/>
    <w:rsid w:val="60923D36"/>
    <w:rsid w:val="6092569C"/>
    <w:rsid w:val="609A65C9"/>
    <w:rsid w:val="609D0F5A"/>
    <w:rsid w:val="60AC72CC"/>
    <w:rsid w:val="60AD0357"/>
    <w:rsid w:val="60B004BE"/>
    <w:rsid w:val="60B60611"/>
    <w:rsid w:val="60B6381B"/>
    <w:rsid w:val="60BA604C"/>
    <w:rsid w:val="60C302BA"/>
    <w:rsid w:val="60C30855"/>
    <w:rsid w:val="60C338B1"/>
    <w:rsid w:val="60C80101"/>
    <w:rsid w:val="60D4742F"/>
    <w:rsid w:val="60D67C80"/>
    <w:rsid w:val="60D95276"/>
    <w:rsid w:val="60E06DEB"/>
    <w:rsid w:val="60E51841"/>
    <w:rsid w:val="61110088"/>
    <w:rsid w:val="611647A0"/>
    <w:rsid w:val="613F2524"/>
    <w:rsid w:val="61421EFD"/>
    <w:rsid w:val="614F6F7E"/>
    <w:rsid w:val="615C5041"/>
    <w:rsid w:val="61640524"/>
    <w:rsid w:val="617A6EE7"/>
    <w:rsid w:val="617B616B"/>
    <w:rsid w:val="617E7B4C"/>
    <w:rsid w:val="6182260C"/>
    <w:rsid w:val="6190565E"/>
    <w:rsid w:val="61AA2608"/>
    <w:rsid w:val="61AD68BC"/>
    <w:rsid w:val="61AE786E"/>
    <w:rsid w:val="61B173D2"/>
    <w:rsid w:val="61B25E8F"/>
    <w:rsid w:val="61BC4BE1"/>
    <w:rsid w:val="61C12DE2"/>
    <w:rsid w:val="61D43A2B"/>
    <w:rsid w:val="61E34474"/>
    <w:rsid w:val="61EC3D06"/>
    <w:rsid w:val="61ED6D6A"/>
    <w:rsid w:val="61FF316E"/>
    <w:rsid w:val="62014BDB"/>
    <w:rsid w:val="621542CB"/>
    <w:rsid w:val="621C2930"/>
    <w:rsid w:val="623A4E60"/>
    <w:rsid w:val="624263A2"/>
    <w:rsid w:val="6248722E"/>
    <w:rsid w:val="625272C3"/>
    <w:rsid w:val="626A1B4F"/>
    <w:rsid w:val="62715337"/>
    <w:rsid w:val="6280204D"/>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402B4"/>
    <w:rsid w:val="62F51069"/>
    <w:rsid w:val="62F6011A"/>
    <w:rsid w:val="62FD2BA9"/>
    <w:rsid w:val="63107694"/>
    <w:rsid w:val="6314586E"/>
    <w:rsid w:val="6327422B"/>
    <w:rsid w:val="6328597C"/>
    <w:rsid w:val="633B249F"/>
    <w:rsid w:val="633D1842"/>
    <w:rsid w:val="635123F0"/>
    <w:rsid w:val="63552D76"/>
    <w:rsid w:val="6359778B"/>
    <w:rsid w:val="635B63E3"/>
    <w:rsid w:val="63677698"/>
    <w:rsid w:val="63771D13"/>
    <w:rsid w:val="63791642"/>
    <w:rsid w:val="637C01B3"/>
    <w:rsid w:val="638C3395"/>
    <w:rsid w:val="63B37325"/>
    <w:rsid w:val="63B811CF"/>
    <w:rsid w:val="63B82D87"/>
    <w:rsid w:val="63BA3154"/>
    <w:rsid w:val="63C509F9"/>
    <w:rsid w:val="63CA2E8B"/>
    <w:rsid w:val="63CF097D"/>
    <w:rsid w:val="63D4153E"/>
    <w:rsid w:val="63DA0FA3"/>
    <w:rsid w:val="63DC7755"/>
    <w:rsid w:val="63E43D21"/>
    <w:rsid w:val="63E774B3"/>
    <w:rsid w:val="63F04A04"/>
    <w:rsid w:val="63F24AD5"/>
    <w:rsid w:val="63F47D2A"/>
    <w:rsid w:val="63F6335E"/>
    <w:rsid w:val="63FE2D33"/>
    <w:rsid w:val="64046427"/>
    <w:rsid w:val="640B5788"/>
    <w:rsid w:val="642369FC"/>
    <w:rsid w:val="64254882"/>
    <w:rsid w:val="64264A79"/>
    <w:rsid w:val="6426603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900A7"/>
    <w:rsid w:val="64EB5728"/>
    <w:rsid w:val="64FA211B"/>
    <w:rsid w:val="64FB4412"/>
    <w:rsid w:val="64FE700F"/>
    <w:rsid w:val="6500327F"/>
    <w:rsid w:val="6503698F"/>
    <w:rsid w:val="6506609B"/>
    <w:rsid w:val="65083216"/>
    <w:rsid w:val="650A57D3"/>
    <w:rsid w:val="653E5AA4"/>
    <w:rsid w:val="65460728"/>
    <w:rsid w:val="654835A8"/>
    <w:rsid w:val="654C7056"/>
    <w:rsid w:val="654D7A6A"/>
    <w:rsid w:val="65696D87"/>
    <w:rsid w:val="65733E15"/>
    <w:rsid w:val="657D30C6"/>
    <w:rsid w:val="65822810"/>
    <w:rsid w:val="65870C45"/>
    <w:rsid w:val="658F6B54"/>
    <w:rsid w:val="65955CF7"/>
    <w:rsid w:val="659705FF"/>
    <w:rsid w:val="659C60A2"/>
    <w:rsid w:val="65A47504"/>
    <w:rsid w:val="65AA6346"/>
    <w:rsid w:val="65B01B69"/>
    <w:rsid w:val="65B56C47"/>
    <w:rsid w:val="65B7794D"/>
    <w:rsid w:val="65B8262E"/>
    <w:rsid w:val="65BC15EE"/>
    <w:rsid w:val="65C73EFE"/>
    <w:rsid w:val="65D23D59"/>
    <w:rsid w:val="65D4773F"/>
    <w:rsid w:val="65DC5939"/>
    <w:rsid w:val="65DC7985"/>
    <w:rsid w:val="65F14641"/>
    <w:rsid w:val="65F5655C"/>
    <w:rsid w:val="65F64F18"/>
    <w:rsid w:val="65FF118E"/>
    <w:rsid w:val="66052F43"/>
    <w:rsid w:val="66065483"/>
    <w:rsid w:val="6609487E"/>
    <w:rsid w:val="660B443C"/>
    <w:rsid w:val="661D25CE"/>
    <w:rsid w:val="66206CF2"/>
    <w:rsid w:val="66265846"/>
    <w:rsid w:val="66287C9C"/>
    <w:rsid w:val="662E4097"/>
    <w:rsid w:val="664805B8"/>
    <w:rsid w:val="665572E9"/>
    <w:rsid w:val="665B14BD"/>
    <w:rsid w:val="665B55EA"/>
    <w:rsid w:val="66641D58"/>
    <w:rsid w:val="66655F85"/>
    <w:rsid w:val="667C7AEC"/>
    <w:rsid w:val="667F71BA"/>
    <w:rsid w:val="668547B8"/>
    <w:rsid w:val="66863A0F"/>
    <w:rsid w:val="668C53CC"/>
    <w:rsid w:val="66984358"/>
    <w:rsid w:val="66987BD8"/>
    <w:rsid w:val="669B7C76"/>
    <w:rsid w:val="66A200F8"/>
    <w:rsid w:val="66A205F5"/>
    <w:rsid w:val="66A30EC2"/>
    <w:rsid w:val="66A643AC"/>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0B6C70"/>
    <w:rsid w:val="681C6C95"/>
    <w:rsid w:val="682211D1"/>
    <w:rsid w:val="68445430"/>
    <w:rsid w:val="68596A8A"/>
    <w:rsid w:val="685B0620"/>
    <w:rsid w:val="685C6395"/>
    <w:rsid w:val="686318DD"/>
    <w:rsid w:val="68635145"/>
    <w:rsid w:val="686D19A4"/>
    <w:rsid w:val="687914A4"/>
    <w:rsid w:val="687F607E"/>
    <w:rsid w:val="6887281F"/>
    <w:rsid w:val="688B4E92"/>
    <w:rsid w:val="688F413B"/>
    <w:rsid w:val="689565AD"/>
    <w:rsid w:val="689A41FB"/>
    <w:rsid w:val="689E57F0"/>
    <w:rsid w:val="68A34C5C"/>
    <w:rsid w:val="68CA6EAF"/>
    <w:rsid w:val="68D10697"/>
    <w:rsid w:val="68D2558C"/>
    <w:rsid w:val="68D507C6"/>
    <w:rsid w:val="68E24981"/>
    <w:rsid w:val="68E62C62"/>
    <w:rsid w:val="68ED60A5"/>
    <w:rsid w:val="69123F86"/>
    <w:rsid w:val="691C1D81"/>
    <w:rsid w:val="691C3525"/>
    <w:rsid w:val="691C4B46"/>
    <w:rsid w:val="69216128"/>
    <w:rsid w:val="69250799"/>
    <w:rsid w:val="69276FF2"/>
    <w:rsid w:val="69280874"/>
    <w:rsid w:val="692E74C3"/>
    <w:rsid w:val="69307671"/>
    <w:rsid w:val="695241D9"/>
    <w:rsid w:val="695D6B21"/>
    <w:rsid w:val="69611EE7"/>
    <w:rsid w:val="69621F5B"/>
    <w:rsid w:val="696C708E"/>
    <w:rsid w:val="696F4D5D"/>
    <w:rsid w:val="69850877"/>
    <w:rsid w:val="698C13C5"/>
    <w:rsid w:val="698E32DB"/>
    <w:rsid w:val="69A17C7E"/>
    <w:rsid w:val="69BD4830"/>
    <w:rsid w:val="69C12919"/>
    <w:rsid w:val="69C71624"/>
    <w:rsid w:val="69EB1E1E"/>
    <w:rsid w:val="69F0745A"/>
    <w:rsid w:val="6A0D20F2"/>
    <w:rsid w:val="6A117613"/>
    <w:rsid w:val="6A1757B7"/>
    <w:rsid w:val="6A1A2066"/>
    <w:rsid w:val="6A1A4305"/>
    <w:rsid w:val="6A1D59EC"/>
    <w:rsid w:val="6A247F72"/>
    <w:rsid w:val="6A2E5EF8"/>
    <w:rsid w:val="6A3A6D15"/>
    <w:rsid w:val="6A3E2393"/>
    <w:rsid w:val="6A3E360B"/>
    <w:rsid w:val="6A435B92"/>
    <w:rsid w:val="6A444DB8"/>
    <w:rsid w:val="6A471880"/>
    <w:rsid w:val="6A4C28F4"/>
    <w:rsid w:val="6A4D4828"/>
    <w:rsid w:val="6A516AC3"/>
    <w:rsid w:val="6A5303BA"/>
    <w:rsid w:val="6A5B28ED"/>
    <w:rsid w:val="6A677080"/>
    <w:rsid w:val="6A711183"/>
    <w:rsid w:val="6A720BCF"/>
    <w:rsid w:val="6A7B4B9C"/>
    <w:rsid w:val="6A8A1698"/>
    <w:rsid w:val="6AAE7116"/>
    <w:rsid w:val="6AAF014C"/>
    <w:rsid w:val="6AB60C9F"/>
    <w:rsid w:val="6ABD60AB"/>
    <w:rsid w:val="6AC07690"/>
    <w:rsid w:val="6ACB082B"/>
    <w:rsid w:val="6ACD3503"/>
    <w:rsid w:val="6AD3247E"/>
    <w:rsid w:val="6AE4699C"/>
    <w:rsid w:val="6AED1BE8"/>
    <w:rsid w:val="6AF00853"/>
    <w:rsid w:val="6AF317C6"/>
    <w:rsid w:val="6B004C6B"/>
    <w:rsid w:val="6B025ED1"/>
    <w:rsid w:val="6B09696B"/>
    <w:rsid w:val="6B250FA2"/>
    <w:rsid w:val="6B2B0EFD"/>
    <w:rsid w:val="6B2C13E4"/>
    <w:rsid w:val="6B2D2EEB"/>
    <w:rsid w:val="6B322952"/>
    <w:rsid w:val="6B410613"/>
    <w:rsid w:val="6B493E2C"/>
    <w:rsid w:val="6B4B0A4C"/>
    <w:rsid w:val="6B4B36C9"/>
    <w:rsid w:val="6B4E75E6"/>
    <w:rsid w:val="6B50310B"/>
    <w:rsid w:val="6B5045E2"/>
    <w:rsid w:val="6B5B3B9E"/>
    <w:rsid w:val="6B5C4553"/>
    <w:rsid w:val="6B62569D"/>
    <w:rsid w:val="6B692897"/>
    <w:rsid w:val="6B695848"/>
    <w:rsid w:val="6B6A1A57"/>
    <w:rsid w:val="6B6D1317"/>
    <w:rsid w:val="6B730045"/>
    <w:rsid w:val="6B736A2E"/>
    <w:rsid w:val="6B762264"/>
    <w:rsid w:val="6B792765"/>
    <w:rsid w:val="6B7964E9"/>
    <w:rsid w:val="6B8642C7"/>
    <w:rsid w:val="6B874340"/>
    <w:rsid w:val="6B884219"/>
    <w:rsid w:val="6B90781F"/>
    <w:rsid w:val="6B95451B"/>
    <w:rsid w:val="6BA6663C"/>
    <w:rsid w:val="6BA9194F"/>
    <w:rsid w:val="6BB07973"/>
    <w:rsid w:val="6BC43854"/>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B3B42"/>
    <w:rsid w:val="6D3C6626"/>
    <w:rsid w:val="6D4E0AF9"/>
    <w:rsid w:val="6D5D0DB5"/>
    <w:rsid w:val="6D6855B1"/>
    <w:rsid w:val="6D6C5D15"/>
    <w:rsid w:val="6D7157A1"/>
    <w:rsid w:val="6D7B4AB7"/>
    <w:rsid w:val="6D831FBE"/>
    <w:rsid w:val="6D836C02"/>
    <w:rsid w:val="6D89784B"/>
    <w:rsid w:val="6D8C7F73"/>
    <w:rsid w:val="6D9057BE"/>
    <w:rsid w:val="6D9E0566"/>
    <w:rsid w:val="6DA035CB"/>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5A2442"/>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ED7F40"/>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897856"/>
    <w:rsid w:val="6F905BB3"/>
    <w:rsid w:val="6F9A3007"/>
    <w:rsid w:val="6FA629D4"/>
    <w:rsid w:val="6FA75ADB"/>
    <w:rsid w:val="6FB77ED4"/>
    <w:rsid w:val="6FBD3BBF"/>
    <w:rsid w:val="6FBD4D2F"/>
    <w:rsid w:val="6FBF4710"/>
    <w:rsid w:val="6FC9109F"/>
    <w:rsid w:val="6FCC6779"/>
    <w:rsid w:val="6FDB518F"/>
    <w:rsid w:val="6FDF72B1"/>
    <w:rsid w:val="6FE529ED"/>
    <w:rsid w:val="6FF733A7"/>
    <w:rsid w:val="70003DD9"/>
    <w:rsid w:val="700463DD"/>
    <w:rsid w:val="70072915"/>
    <w:rsid w:val="70172090"/>
    <w:rsid w:val="70195E88"/>
    <w:rsid w:val="701D43BA"/>
    <w:rsid w:val="70216162"/>
    <w:rsid w:val="70291C03"/>
    <w:rsid w:val="702B6F43"/>
    <w:rsid w:val="7032079E"/>
    <w:rsid w:val="703C186A"/>
    <w:rsid w:val="70473C04"/>
    <w:rsid w:val="704C34F0"/>
    <w:rsid w:val="70570007"/>
    <w:rsid w:val="705843B4"/>
    <w:rsid w:val="7058635C"/>
    <w:rsid w:val="705C54C7"/>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E8017E"/>
    <w:rsid w:val="70FC2D1E"/>
    <w:rsid w:val="71014479"/>
    <w:rsid w:val="71015D6B"/>
    <w:rsid w:val="71067D7F"/>
    <w:rsid w:val="71071665"/>
    <w:rsid w:val="71115386"/>
    <w:rsid w:val="71126908"/>
    <w:rsid w:val="71151975"/>
    <w:rsid w:val="711D1189"/>
    <w:rsid w:val="711E1BAA"/>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03599"/>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197F53"/>
    <w:rsid w:val="7231773E"/>
    <w:rsid w:val="7234129A"/>
    <w:rsid w:val="72502F9F"/>
    <w:rsid w:val="7251515C"/>
    <w:rsid w:val="725817D3"/>
    <w:rsid w:val="725B7688"/>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52BA7"/>
    <w:rsid w:val="72FD426E"/>
    <w:rsid w:val="73043CFC"/>
    <w:rsid w:val="7317244F"/>
    <w:rsid w:val="7329654B"/>
    <w:rsid w:val="732B736C"/>
    <w:rsid w:val="732C334F"/>
    <w:rsid w:val="733501BF"/>
    <w:rsid w:val="73384217"/>
    <w:rsid w:val="734900F8"/>
    <w:rsid w:val="734F0C79"/>
    <w:rsid w:val="734F4185"/>
    <w:rsid w:val="73520620"/>
    <w:rsid w:val="73536078"/>
    <w:rsid w:val="7363274A"/>
    <w:rsid w:val="73691A4A"/>
    <w:rsid w:val="7371152B"/>
    <w:rsid w:val="73777B4D"/>
    <w:rsid w:val="73777D21"/>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A0435"/>
    <w:rsid w:val="744B354F"/>
    <w:rsid w:val="7450294E"/>
    <w:rsid w:val="74531332"/>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5A4C4E"/>
    <w:rsid w:val="75633812"/>
    <w:rsid w:val="756F29D2"/>
    <w:rsid w:val="75752B04"/>
    <w:rsid w:val="7580654E"/>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1964FB"/>
    <w:rsid w:val="762545DB"/>
    <w:rsid w:val="762A17C0"/>
    <w:rsid w:val="762B7A6C"/>
    <w:rsid w:val="762E6798"/>
    <w:rsid w:val="763E6F8E"/>
    <w:rsid w:val="76425118"/>
    <w:rsid w:val="764838B9"/>
    <w:rsid w:val="764B15DA"/>
    <w:rsid w:val="764C09B4"/>
    <w:rsid w:val="764C2E10"/>
    <w:rsid w:val="764F5A52"/>
    <w:rsid w:val="76521C57"/>
    <w:rsid w:val="766048D5"/>
    <w:rsid w:val="766163C1"/>
    <w:rsid w:val="76665926"/>
    <w:rsid w:val="766A4A0D"/>
    <w:rsid w:val="768C454B"/>
    <w:rsid w:val="7692667A"/>
    <w:rsid w:val="76982273"/>
    <w:rsid w:val="769A1A97"/>
    <w:rsid w:val="769A7352"/>
    <w:rsid w:val="769C4619"/>
    <w:rsid w:val="76A177B8"/>
    <w:rsid w:val="76A766BF"/>
    <w:rsid w:val="76AD2761"/>
    <w:rsid w:val="76B64E53"/>
    <w:rsid w:val="76B8001A"/>
    <w:rsid w:val="76B81599"/>
    <w:rsid w:val="76B97D11"/>
    <w:rsid w:val="76BB2F21"/>
    <w:rsid w:val="76BC314A"/>
    <w:rsid w:val="76C12918"/>
    <w:rsid w:val="76CC16BA"/>
    <w:rsid w:val="76CF29D3"/>
    <w:rsid w:val="76DC19D4"/>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A5E14"/>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BF39C7"/>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AC20B5"/>
    <w:rsid w:val="78B0552C"/>
    <w:rsid w:val="78C34D95"/>
    <w:rsid w:val="78C53485"/>
    <w:rsid w:val="78C6693F"/>
    <w:rsid w:val="78C74F94"/>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BD574A"/>
    <w:rsid w:val="79C07B43"/>
    <w:rsid w:val="79C832AC"/>
    <w:rsid w:val="79D33056"/>
    <w:rsid w:val="79D715DF"/>
    <w:rsid w:val="79D85AB0"/>
    <w:rsid w:val="79E16F93"/>
    <w:rsid w:val="79E701E5"/>
    <w:rsid w:val="79EC0256"/>
    <w:rsid w:val="79F60153"/>
    <w:rsid w:val="79FB6E2C"/>
    <w:rsid w:val="79FF7B91"/>
    <w:rsid w:val="7A165123"/>
    <w:rsid w:val="7A1C011A"/>
    <w:rsid w:val="7A2F0864"/>
    <w:rsid w:val="7A36322F"/>
    <w:rsid w:val="7A3B3D4A"/>
    <w:rsid w:val="7A431242"/>
    <w:rsid w:val="7A444657"/>
    <w:rsid w:val="7A4B3D21"/>
    <w:rsid w:val="7A4C2D60"/>
    <w:rsid w:val="7A5458B9"/>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9E6DBB"/>
    <w:rsid w:val="7BA37095"/>
    <w:rsid w:val="7BAA485C"/>
    <w:rsid w:val="7BAD1591"/>
    <w:rsid w:val="7BCD64C2"/>
    <w:rsid w:val="7BD3716B"/>
    <w:rsid w:val="7BD40348"/>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8F65F9"/>
    <w:rsid w:val="7C9B5288"/>
    <w:rsid w:val="7C9E5A24"/>
    <w:rsid w:val="7CA745A1"/>
    <w:rsid w:val="7CAC476D"/>
    <w:rsid w:val="7CAF4DCB"/>
    <w:rsid w:val="7CB4006B"/>
    <w:rsid w:val="7CB93ABB"/>
    <w:rsid w:val="7CC475DB"/>
    <w:rsid w:val="7CC91267"/>
    <w:rsid w:val="7CCA4C41"/>
    <w:rsid w:val="7CD36BD6"/>
    <w:rsid w:val="7CDE3831"/>
    <w:rsid w:val="7CE05980"/>
    <w:rsid w:val="7CE656F0"/>
    <w:rsid w:val="7CED34FF"/>
    <w:rsid w:val="7CEE5458"/>
    <w:rsid w:val="7CF04D9E"/>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B467D2"/>
    <w:rsid w:val="7DCD1A27"/>
    <w:rsid w:val="7DCD4EB5"/>
    <w:rsid w:val="7DDF20BC"/>
    <w:rsid w:val="7DE07962"/>
    <w:rsid w:val="7DE34955"/>
    <w:rsid w:val="7DFF1E31"/>
    <w:rsid w:val="7E0565CD"/>
    <w:rsid w:val="7E090313"/>
    <w:rsid w:val="7E097A5B"/>
    <w:rsid w:val="7E1B1ABE"/>
    <w:rsid w:val="7E3E0FEC"/>
    <w:rsid w:val="7E3E1EF2"/>
    <w:rsid w:val="7E566EA2"/>
    <w:rsid w:val="7E5B15D2"/>
    <w:rsid w:val="7E5B76B4"/>
    <w:rsid w:val="7E5C1ABA"/>
    <w:rsid w:val="7E5D0998"/>
    <w:rsid w:val="7E61281D"/>
    <w:rsid w:val="7E622778"/>
    <w:rsid w:val="7E6A479F"/>
    <w:rsid w:val="7E726401"/>
    <w:rsid w:val="7E756346"/>
    <w:rsid w:val="7E7D055C"/>
    <w:rsid w:val="7E8104AE"/>
    <w:rsid w:val="7E84007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85F9D"/>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3228D"/>
    <w:rsid w:val="7F761ADC"/>
    <w:rsid w:val="7F7D7A8E"/>
    <w:rsid w:val="7F872588"/>
    <w:rsid w:val="7F8725BA"/>
    <w:rsid w:val="7F8C6A8F"/>
    <w:rsid w:val="7F994DB5"/>
    <w:rsid w:val="7F9C175D"/>
    <w:rsid w:val="7F9F773D"/>
    <w:rsid w:val="7FA85877"/>
    <w:rsid w:val="7FAB3A81"/>
    <w:rsid w:val="7FBB77A4"/>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paragraph" w:customStyle="1" w:styleId="79">
    <w:name w:val="Text"/>
    <w:basedOn w:val="1"/>
    <w:qFormat/>
    <w:uiPriority w:val="0"/>
    <w:pPr>
      <w:keepLines/>
      <w:spacing w:after="240" w:line="240" w:lineRule="auto"/>
      <w:jc w:val="both"/>
    </w:pPr>
    <w:rPr>
      <w:rFonts w:ascii="Arial" w:hAnsi="Arial" w:eastAsia="Times New Roman"/>
      <w:sz w:val="24"/>
      <w:lang w:eastAsia="fr-F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2025-05-09T06:50:28Z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0C580A1331B34D89A58F550CB685A983</vt:lpwstr>
  </property>
</Properties>
</file>